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Pr="00FA4EAF" w:rsidRDefault="0094424E" w:rsidP="0094424E">
      <w:pPr>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E962E3">
            <w:pPr>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pPr>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יעקב שקד</w:t>
                </w:r>
              </w:sdtContent>
            </w:sdt>
          </w:p>
          <w:p w:rsidR="0094424E" w:rsidRPr="00FA4EAF" w:rsidRDefault="0094424E">
            <w:pPr>
              <w:rPr>
                <w:rFonts w:ascii="Arial" w:hAnsi="Arial" w:cs="FrankRuehl"/>
                <w:sz w:val="26"/>
                <w:szCs w:val="26"/>
                <w:highlight w:val="yellow"/>
              </w:rPr>
            </w:pPr>
          </w:p>
        </w:tc>
      </w:tr>
      <w:tr w:rsidR="0094424E" w:rsidRPr="00FA4EAF" w:rsidTr="00465D36">
        <w:trPr>
          <w:jc w:val="center"/>
        </w:trPr>
        <w:tc>
          <w:tcPr>
            <w:tcW w:w="3249" w:type="dxa"/>
            <w:gridSpan w:val="2"/>
          </w:tcPr>
          <w:p w:rsidR="005200DE" w:rsidRDefault="005200DE">
            <w:pPr>
              <w:rPr>
                <w:rFonts w:ascii="Arial" w:hAnsi="Arial"/>
                <w:b/>
                <w:bCs/>
                <w:noProof w:val="0"/>
                <w:sz w:val="26"/>
                <w:szCs w:val="26"/>
                <w:rtl/>
              </w:rPr>
            </w:pPr>
          </w:p>
          <w:p w:rsidR="00BF725C" w:rsidRDefault="00BF725C">
            <w:pPr>
              <w:rPr>
                <w:rFonts w:ascii="Arial" w:hAnsi="Arial"/>
                <w:b/>
                <w:bCs/>
                <w:noProof w:val="0"/>
                <w:sz w:val="26"/>
                <w:szCs w:val="26"/>
                <w:rtl/>
              </w:rPr>
            </w:pPr>
            <w:r>
              <w:rPr>
                <w:rFonts w:ascii="Arial" w:hAnsi="Arial" w:hint="cs"/>
                <w:b/>
                <w:bCs/>
                <w:noProof w:val="0"/>
                <w:sz w:val="26"/>
                <w:szCs w:val="26"/>
                <w:rtl/>
              </w:rPr>
              <w:t>תובע/מבקש</w:t>
            </w:r>
          </w:p>
        </w:tc>
        <w:tc>
          <w:tcPr>
            <w:tcW w:w="5571" w:type="dxa"/>
          </w:tcPr>
          <w:p w:rsidR="0094424E" w:rsidRPr="00FA4EAF" w:rsidRDefault="0094424E">
            <w:pPr>
              <w:rPr>
                <w:rFonts w:ascii="Arial" w:hAnsi="Arial"/>
                <w:b/>
                <w:bCs/>
                <w:noProof w:val="0"/>
                <w:sz w:val="26"/>
                <w:szCs w:val="26"/>
                <w:rtl/>
              </w:rPr>
            </w:pPr>
          </w:p>
          <w:p w:rsidR="003763AB" w:rsidRDefault="001C6365">
            <w:pPr>
              <w:rPr>
                <w:sz w:val="26"/>
                <w:szCs w:val="26"/>
                <w:rtl/>
              </w:rPr>
            </w:pPr>
            <w:sdt>
              <w:sdtPr>
                <w:rPr>
                  <w:sz w:val="26"/>
                  <w:szCs w:val="26"/>
                  <w:rtl/>
                </w:rPr>
                <w:alias w:val="1478"/>
                <w:tag w:val="1478"/>
                <w:id w:val="-2076122985"/>
                <w:text w:multiLine="1"/>
              </w:sdtPr>
              <w:sdtEndPr/>
              <w:sdtContent>
                <w:r w:rsidR="001F5DB6">
                  <w:rPr>
                    <w:rFonts w:ascii="Arial" w:hAnsi="Arial"/>
                    <w:b/>
                    <w:bCs/>
                    <w:noProof w:val="0"/>
                    <w:sz w:val="26"/>
                    <w:szCs w:val="26"/>
                    <w:rtl/>
                  </w:rPr>
                  <w:t>מתן דור</w:t>
                </w:r>
              </w:sdtContent>
            </w:sdt>
          </w:p>
          <w:p w:rsidR="0094424E" w:rsidRDefault="001D3441">
            <w:pPr>
              <w:rPr>
                <w:sz w:val="26"/>
                <w:szCs w:val="26"/>
                <w:rtl/>
              </w:rPr>
            </w:pPr>
            <w:r>
              <w:rPr>
                <w:rFonts w:hint="cs"/>
                <w:sz w:val="26"/>
                <w:szCs w:val="26"/>
                <w:rtl/>
              </w:rPr>
              <w:t>ע"י ב"כ עו"ד</w:t>
            </w:r>
            <w:r w:rsidR="00EB5012">
              <w:rPr>
                <w:rFonts w:hint="cs"/>
                <w:sz w:val="26"/>
                <w:szCs w:val="26"/>
                <w:rtl/>
              </w:rPr>
              <w:t xml:space="preserve"> אייל אבידן</w:t>
            </w:r>
          </w:p>
          <w:p w:rsidR="00703D03" w:rsidRPr="00FA4EAF" w:rsidRDefault="00703D03">
            <w:pPr>
              <w:rPr>
                <w:b/>
                <w:bCs/>
                <w:noProof w:val="0"/>
                <w:sz w:val="26"/>
                <w:szCs w:val="26"/>
              </w:rPr>
            </w:pPr>
          </w:p>
        </w:tc>
      </w:tr>
      <w:tr w:rsidR="0094424E" w:rsidRPr="00FA4EAF">
        <w:trPr>
          <w:jc w:val="center"/>
        </w:trPr>
        <w:tc>
          <w:tcPr>
            <w:tcW w:w="8820" w:type="dxa"/>
            <w:gridSpan w:val="3"/>
          </w:tcPr>
          <w:p w:rsidR="0094424E" w:rsidRPr="00FA4EAF" w:rsidRDefault="0094424E">
            <w:pPr>
              <w:rPr>
                <w:rFonts w:ascii="Arial" w:hAnsi="Arial"/>
                <w:b/>
                <w:bCs/>
                <w:noProof w:val="0"/>
                <w:sz w:val="26"/>
                <w:szCs w:val="26"/>
                <w:rtl/>
              </w:rPr>
            </w:pPr>
          </w:p>
          <w:p w:rsidR="0094424E" w:rsidRPr="00FA4EAF" w:rsidRDefault="0094424E">
            <w:pPr>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pPr>
              <w:rPr>
                <w:rFonts w:ascii="Arial" w:hAnsi="Arial"/>
                <w:b/>
                <w:bCs/>
                <w:noProof w:val="0"/>
                <w:sz w:val="26"/>
                <w:szCs w:val="26"/>
              </w:rPr>
            </w:pPr>
          </w:p>
        </w:tc>
      </w:tr>
      <w:tr w:rsidR="0094424E" w:rsidRPr="00FA4EAF">
        <w:trPr>
          <w:jc w:val="center"/>
        </w:trPr>
        <w:tc>
          <w:tcPr>
            <w:tcW w:w="3249" w:type="dxa"/>
            <w:gridSpan w:val="2"/>
          </w:tcPr>
          <w:p w:rsidR="0094424E" w:rsidRPr="00FA4EAF" w:rsidRDefault="0094424E">
            <w:pPr>
              <w:rPr>
                <w:rFonts w:ascii="Arial" w:hAnsi="Arial"/>
                <w:b/>
                <w:bCs/>
                <w:noProof w:val="0"/>
                <w:sz w:val="26"/>
                <w:szCs w:val="26"/>
                <w:rtl/>
              </w:rPr>
            </w:pPr>
          </w:p>
          <w:p w:rsidR="0094424E" w:rsidRPr="00FA4EAF" w:rsidRDefault="001C6365" w:rsidP="00703D03">
            <w:pPr>
              <w:rPr>
                <w:rFonts w:ascii="Arial" w:hAnsi="Arial"/>
                <w:b/>
                <w:bCs/>
                <w:noProof w:val="0"/>
                <w:sz w:val="26"/>
                <w:szCs w:val="26"/>
              </w:rPr>
            </w:pPr>
            <w:sdt>
              <w:sdtPr>
                <w:rPr>
                  <w:sz w:val="26"/>
                  <w:szCs w:val="26"/>
                  <w:rtl/>
                </w:rPr>
                <w:alias w:val="1184"/>
                <w:tag w:val="1184"/>
                <w:id w:val="-340621022"/>
                <w:text w:multiLine="1"/>
              </w:sdtPr>
              <w:sdtEndPr/>
              <w:sdtContent>
                <w:r w:rsidR="00703D03">
                  <w:rPr>
                    <w:rFonts w:ascii="Arial" w:hAnsi="Arial" w:hint="cs"/>
                    <w:b/>
                    <w:bCs/>
                    <w:noProof w:val="0"/>
                    <w:sz w:val="26"/>
                    <w:szCs w:val="26"/>
                    <w:rtl/>
                  </w:rPr>
                  <w:t>נתבעים/משיבי</w:t>
                </w:r>
                <w:r w:rsidR="001F5DB6">
                  <w:rPr>
                    <w:rFonts w:ascii="Arial" w:hAnsi="Arial"/>
                    <w:b/>
                    <w:bCs/>
                    <w:noProof w:val="0"/>
                    <w:sz w:val="26"/>
                    <w:szCs w:val="26"/>
                    <w:rtl/>
                  </w:rPr>
                  <w:t>ם</w:t>
                </w:r>
              </w:sdtContent>
            </w:sdt>
          </w:p>
        </w:tc>
        <w:tc>
          <w:tcPr>
            <w:tcW w:w="5571" w:type="dxa"/>
          </w:tcPr>
          <w:p w:rsidR="0094424E" w:rsidRPr="00FA4EAF" w:rsidRDefault="0094424E">
            <w:pPr>
              <w:rPr>
                <w:rFonts w:ascii="Arial" w:hAnsi="Arial"/>
                <w:b/>
                <w:bCs/>
                <w:noProof w:val="0"/>
                <w:sz w:val="26"/>
                <w:szCs w:val="26"/>
                <w:rtl/>
              </w:rPr>
            </w:pPr>
          </w:p>
          <w:p w:rsidR="003763AB" w:rsidRDefault="001C6365">
            <w:pPr>
              <w:rPr>
                <w:sz w:val="26"/>
                <w:szCs w:val="26"/>
                <w:rtl/>
              </w:rPr>
            </w:pPr>
            <w:sdt>
              <w:sdtPr>
                <w:rPr>
                  <w:sz w:val="26"/>
                  <w:szCs w:val="26"/>
                  <w:rtl/>
                </w:rPr>
                <w:alias w:val="1571"/>
                <w:tag w:val="1571"/>
                <w:id w:val="1028836282"/>
                <w:text w:multiLine="1"/>
              </w:sdtPr>
              <w:sdtEndPr/>
              <w:sdtContent>
                <w:r w:rsidR="001F5DB6">
                  <w:rPr>
                    <w:rFonts w:ascii="Arial" w:hAnsi="Arial"/>
                    <w:b/>
                    <w:bCs/>
                    <w:noProof w:val="0"/>
                    <w:sz w:val="26"/>
                    <w:szCs w:val="26"/>
                    <w:rtl/>
                  </w:rPr>
                  <w:t>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309872140"/>
                <w:text w:multiLine="1"/>
              </w:sdtPr>
              <w:sdtEndPr/>
              <w:sdtContent>
                <w:r w:rsidR="001F5DB6">
                  <w:rPr>
                    <w:rFonts w:ascii="Arial" w:hAnsi="Arial"/>
                    <w:b/>
                    <w:bCs/>
                    <w:noProof w:val="0"/>
                    <w:sz w:val="26"/>
                    <w:szCs w:val="26"/>
                    <w:rtl/>
                  </w:rPr>
                  <w:t>לייט האוס 23 בע"מ</w:t>
                </w:r>
              </w:sdtContent>
            </w:sdt>
          </w:p>
          <w:p w:rsidR="003763AB" w:rsidRDefault="001C6365">
            <w:pPr>
              <w:rPr>
                <w:sz w:val="26"/>
                <w:szCs w:val="26"/>
                <w:rtl/>
              </w:rPr>
            </w:pPr>
            <w:sdt>
              <w:sdtPr>
                <w:rPr>
                  <w:sz w:val="26"/>
                  <w:szCs w:val="26"/>
                  <w:rtl/>
                </w:rPr>
                <w:alias w:val="1571"/>
                <w:tag w:val="1571"/>
                <w:id w:val="1818996352"/>
                <w:text w:multiLine="1"/>
              </w:sdtPr>
              <w:sdtEndPr/>
              <w:sdtContent>
                <w:r w:rsidR="001F5DB6">
                  <w:rPr>
                    <w:rFonts w:ascii="Arial" w:hAnsi="Arial"/>
                    <w:b/>
                    <w:bCs/>
                    <w:noProof w:val="0"/>
                    <w:sz w:val="26"/>
                    <w:szCs w:val="26"/>
                    <w:rtl/>
                  </w:rPr>
                  <w:t>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576780605"/>
                <w:text w:multiLine="1"/>
              </w:sdtPr>
              <w:sdtEndPr/>
              <w:sdtContent>
                <w:r w:rsidR="001F5DB6">
                  <w:rPr>
                    <w:rFonts w:ascii="Arial" w:hAnsi="Arial"/>
                    <w:b/>
                    <w:bCs/>
                    <w:noProof w:val="0"/>
                    <w:sz w:val="26"/>
                    <w:szCs w:val="26"/>
                    <w:rtl/>
                  </w:rPr>
                  <w:t>א.ד. נוקס בע"מ</w:t>
                </w:r>
              </w:sdtContent>
            </w:sdt>
          </w:p>
          <w:p w:rsidR="003763AB" w:rsidRDefault="001C6365">
            <w:pPr>
              <w:rPr>
                <w:sz w:val="26"/>
                <w:szCs w:val="26"/>
                <w:rtl/>
              </w:rPr>
            </w:pPr>
            <w:sdt>
              <w:sdtPr>
                <w:rPr>
                  <w:sz w:val="26"/>
                  <w:szCs w:val="26"/>
                  <w:rtl/>
                </w:rPr>
                <w:alias w:val="1571"/>
                <w:tag w:val="1571"/>
                <w:id w:val="410817489"/>
                <w:text w:multiLine="1"/>
              </w:sdtPr>
              <w:sdtEndPr/>
              <w:sdtContent>
                <w:r w:rsidR="001F5DB6">
                  <w:rPr>
                    <w:rFonts w:ascii="Arial" w:hAnsi="Arial"/>
                    <w:b/>
                    <w:bCs/>
                    <w:noProof w:val="0"/>
                    <w:sz w:val="26"/>
                    <w:szCs w:val="26"/>
                    <w:rtl/>
                  </w:rPr>
                  <w:t>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847775722"/>
                <w:text w:multiLine="1"/>
              </w:sdtPr>
              <w:sdtEndPr/>
              <w:sdtContent>
                <w:r w:rsidR="001F5DB6">
                  <w:rPr>
                    <w:rFonts w:ascii="Arial" w:hAnsi="Arial"/>
                    <w:b/>
                    <w:bCs/>
                    <w:noProof w:val="0"/>
                    <w:sz w:val="26"/>
                    <w:szCs w:val="26"/>
                    <w:rtl/>
                  </w:rPr>
                  <w:t>יהונתן בן עמי</w:t>
                </w:r>
              </w:sdtContent>
            </w:sdt>
          </w:p>
          <w:p w:rsidR="003763AB" w:rsidRDefault="001C6365">
            <w:pPr>
              <w:rPr>
                <w:sz w:val="26"/>
                <w:szCs w:val="26"/>
                <w:rtl/>
              </w:rPr>
            </w:pPr>
            <w:sdt>
              <w:sdtPr>
                <w:rPr>
                  <w:sz w:val="26"/>
                  <w:szCs w:val="26"/>
                  <w:rtl/>
                </w:rPr>
                <w:alias w:val="1571"/>
                <w:tag w:val="1571"/>
                <w:id w:val="-1707948922"/>
                <w:text w:multiLine="1"/>
              </w:sdtPr>
              <w:sdtEndPr/>
              <w:sdtContent>
                <w:r w:rsidR="001F5DB6">
                  <w:rPr>
                    <w:rFonts w:ascii="Arial" w:hAnsi="Arial"/>
                    <w:b/>
                    <w:bCs/>
                    <w:noProof w:val="0"/>
                    <w:sz w:val="26"/>
                    <w:szCs w:val="26"/>
                    <w:rtl/>
                  </w:rPr>
                  <w:t>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21035982"/>
                <w:text w:multiLine="1"/>
              </w:sdtPr>
              <w:sdtEndPr/>
              <w:sdtContent>
                <w:r w:rsidR="001F5DB6">
                  <w:rPr>
                    <w:rFonts w:ascii="Arial" w:hAnsi="Arial"/>
                    <w:b/>
                    <w:bCs/>
                    <w:noProof w:val="0"/>
                    <w:sz w:val="26"/>
                    <w:szCs w:val="26"/>
                    <w:rtl/>
                  </w:rPr>
                  <w:t>גיא הינן</w:t>
                </w:r>
              </w:sdtContent>
            </w:sdt>
          </w:p>
          <w:p w:rsidR="003763AB" w:rsidRDefault="001C6365">
            <w:pPr>
              <w:rPr>
                <w:sz w:val="26"/>
                <w:szCs w:val="26"/>
                <w:rtl/>
              </w:rPr>
            </w:pPr>
            <w:sdt>
              <w:sdtPr>
                <w:rPr>
                  <w:sz w:val="26"/>
                  <w:szCs w:val="26"/>
                  <w:rtl/>
                </w:rPr>
                <w:alias w:val="1571"/>
                <w:tag w:val="1571"/>
                <w:id w:val="-213740408"/>
                <w:text w:multiLine="1"/>
              </w:sdtPr>
              <w:sdtEndPr/>
              <w:sdtContent>
                <w:r w:rsidR="001F5DB6">
                  <w:rPr>
                    <w:rFonts w:ascii="Arial" w:hAnsi="Arial"/>
                    <w:b/>
                    <w:bCs/>
                    <w:noProof w:val="0"/>
                    <w:sz w:val="26"/>
                    <w:szCs w:val="26"/>
                    <w:rtl/>
                  </w:rPr>
                  <w:t>5</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673217060"/>
                <w:text w:multiLine="1"/>
              </w:sdtPr>
              <w:sdtEndPr/>
              <w:sdtContent>
                <w:r w:rsidR="001F5DB6">
                  <w:rPr>
                    <w:rFonts w:ascii="Arial" w:hAnsi="Arial"/>
                    <w:b/>
                    <w:bCs/>
                    <w:noProof w:val="0"/>
                    <w:sz w:val="26"/>
                    <w:szCs w:val="26"/>
                    <w:rtl/>
                  </w:rPr>
                  <w:t>עומר יהב</w:t>
                </w:r>
              </w:sdtContent>
            </w:sdt>
          </w:p>
          <w:p w:rsidR="003763AB" w:rsidRDefault="001C6365">
            <w:pPr>
              <w:rPr>
                <w:sz w:val="26"/>
                <w:szCs w:val="26"/>
                <w:rtl/>
              </w:rPr>
            </w:pPr>
            <w:sdt>
              <w:sdtPr>
                <w:rPr>
                  <w:sz w:val="26"/>
                  <w:szCs w:val="26"/>
                  <w:rtl/>
                </w:rPr>
                <w:alias w:val="1571"/>
                <w:tag w:val="1571"/>
                <w:id w:val="1457059048"/>
                <w:text w:multiLine="1"/>
              </w:sdtPr>
              <w:sdtEndPr/>
              <w:sdtContent>
                <w:r w:rsidR="001F5DB6">
                  <w:rPr>
                    <w:rFonts w:ascii="Arial" w:hAnsi="Arial"/>
                    <w:b/>
                    <w:bCs/>
                    <w:noProof w:val="0"/>
                    <w:sz w:val="26"/>
                    <w:szCs w:val="26"/>
                    <w:rtl/>
                  </w:rPr>
                  <w:t>6</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654607263"/>
                <w:text w:multiLine="1"/>
              </w:sdtPr>
              <w:sdtEndPr/>
              <w:sdtContent>
                <w:r w:rsidR="001F5DB6">
                  <w:rPr>
                    <w:rFonts w:ascii="Arial" w:hAnsi="Arial"/>
                    <w:b/>
                    <w:bCs/>
                    <w:noProof w:val="0"/>
                    <w:sz w:val="26"/>
                    <w:szCs w:val="26"/>
                    <w:rtl/>
                  </w:rPr>
                  <w:t>ירום גבאי</w:t>
                </w:r>
              </w:sdtContent>
            </w:sdt>
          </w:p>
          <w:p w:rsidR="003763AB" w:rsidRDefault="001C6365">
            <w:pPr>
              <w:rPr>
                <w:sz w:val="26"/>
                <w:szCs w:val="26"/>
                <w:rtl/>
              </w:rPr>
            </w:pPr>
            <w:sdt>
              <w:sdtPr>
                <w:rPr>
                  <w:sz w:val="26"/>
                  <w:szCs w:val="26"/>
                  <w:rtl/>
                </w:rPr>
                <w:alias w:val="1571"/>
                <w:tag w:val="1571"/>
                <w:id w:val="36475537"/>
                <w:text w:multiLine="1"/>
              </w:sdtPr>
              <w:sdtEndPr/>
              <w:sdtContent>
                <w:r w:rsidR="001F5DB6">
                  <w:rPr>
                    <w:rFonts w:ascii="Arial" w:hAnsi="Arial"/>
                    <w:b/>
                    <w:bCs/>
                    <w:noProof w:val="0"/>
                    <w:sz w:val="26"/>
                    <w:szCs w:val="26"/>
                    <w:rtl/>
                  </w:rPr>
                  <w:t>7</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445124312"/>
                <w:text w:multiLine="1"/>
              </w:sdtPr>
              <w:sdtEndPr/>
              <w:sdtContent>
                <w:r w:rsidR="001F5DB6">
                  <w:rPr>
                    <w:rFonts w:ascii="Arial" w:hAnsi="Arial"/>
                    <w:b/>
                    <w:bCs/>
                    <w:noProof w:val="0"/>
                    <w:sz w:val="26"/>
                    <w:szCs w:val="26"/>
                    <w:rtl/>
                  </w:rPr>
                  <w:t>גל קורן</w:t>
                </w:r>
              </w:sdtContent>
            </w:sdt>
          </w:p>
          <w:p w:rsidR="003763AB" w:rsidRDefault="001C6365">
            <w:pPr>
              <w:rPr>
                <w:sz w:val="26"/>
                <w:szCs w:val="26"/>
                <w:rtl/>
              </w:rPr>
            </w:pPr>
            <w:sdt>
              <w:sdtPr>
                <w:rPr>
                  <w:sz w:val="26"/>
                  <w:szCs w:val="26"/>
                  <w:rtl/>
                </w:rPr>
                <w:alias w:val="1571"/>
                <w:tag w:val="1571"/>
                <w:id w:val="-1918079456"/>
                <w:text w:multiLine="1"/>
              </w:sdtPr>
              <w:sdtEndPr/>
              <w:sdtContent>
                <w:r w:rsidR="001F5DB6">
                  <w:rPr>
                    <w:rFonts w:ascii="Arial" w:hAnsi="Arial"/>
                    <w:b/>
                    <w:bCs/>
                    <w:noProof w:val="0"/>
                    <w:sz w:val="26"/>
                    <w:szCs w:val="26"/>
                    <w:rtl/>
                  </w:rPr>
                  <w:t>8</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297527134"/>
                <w:text w:multiLine="1"/>
              </w:sdtPr>
              <w:sdtEndPr/>
              <w:sdtContent>
                <w:r w:rsidR="001F5DB6">
                  <w:rPr>
                    <w:rFonts w:ascii="Arial" w:hAnsi="Arial"/>
                    <w:b/>
                    <w:bCs/>
                    <w:noProof w:val="0"/>
                    <w:sz w:val="26"/>
                    <w:szCs w:val="26"/>
                    <w:rtl/>
                  </w:rPr>
                  <w:t>ריף רפאל פרץ</w:t>
                </w:r>
              </w:sdtContent>
            </w:sdt>
          </w:p>
          <w:p w:rsidR="003763AB" w:rsidRDefault="001C6365">
            <w:pPr>
              <w:rPr>
                <w:sz w:val="26"/>
                <w:szCs w:val="26"/>
                <w:rtl/>
              </w:rPr>
            </w:pPr>
            <w:sdt>
              <w:sdtPr>
                <w:rPr>
                  <w:sz w:val="26"/>
                  <w:szCs w:val="26"/>
                  <w:rtl/>
                </w:rPr>
                <w:alias w:val="1571"/>
                <w:tag w:val="1571"/>
                <w:id w:val="1727716452"/>
                <w:text w:multiLine="1"/>
              </w:sdtPr>
              <w:sdtEndPr/>
              <w:sdtContent>
                <w:r w:rsidR="001F5DB6">
                  <w:rPr>
                    <w:rFonts w:ascii="Arial" w:hAnsi="Arial"/>
                    <w:b/>
                    <w:bCs/>
                    <w:noProof w:val="0"/>
                    <w:sz w:val="26"/>
                    <w:szCs w:val="26"/>
                    <w:rtl/>
                  </w:rPr>
                  <w:t>9</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122189367"/>
                <w:text w:multiLine="1"/>
              </w:sdtPr>
              <w:sdtEndPr/>
              <w:sdtContent>
                <w:r w:rsidR="001F5DB6">
                  <w:rPr>
                    <w:rFonts w:ascii="Arial" w:hAnsi="Arial"/>
                    <w:b/>
                    <w:bCs/>
                    <w:noProof w:val="0"/>
                    <w:sz w:val="26"/>
                    <w:szCs w:val="26"/>
                    <w:rtl/>
                  </w:rPr>
                  <w:t>שלומי דיין</w:t>
                </w:r>
              </w:sdtContent>
            </w:sdt>
          </w:p>
          <w:p w:rsidR="003763AB" w:rsidRDefault="001C6365">
            <w:pPr>
              <w:rPr>
                <w:sz w:val="26"/>
                <w:szCs w:val="26"/>
                <w:rtl/>
              </w:rPr>
            </w:pPr>
            <w:sdt>
              <w:sdtPr>
                <w:rPr>
                  <w:sz w:val="26"/>
                  <w:szCs w:val="26"/>
                  <w:rtl/>
                </w:rPr>
                <w:alias w:val="1571"/>
                <w:tag w:val="1571"/>
                <w:id w:val="1470247279"/>
                <w:text w:multiLine="1"/>
              </w:sdtPr>
              <w:sdtEndPr/>
              <w:sdtContent>
                <w:r w:rsidR="001F5DB6">
                  <w:rPr>
                    <w:rFonts w:ascii="Arial" w:hAnsi="Arial"/>
                    <w:b/>
                    <w:bCs/>
                    <w:noProof w:val="0"/>
                    <w:sz w:val="26"/>
                    <w:szCs w:val="26"/>
                    <w:rtl/>
                  </w:rPr>
                  <w:t>10</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102996830"/>
                <w:text w:multiLine="1"/>
              </w:sdtPr>
              <w:sdtEndPr/>
              <w:sdtContent>
                <w:r w:rsidR="001F5DB6">
                  <w:rPr>
                    <w:rFonts w:ascii="Arial" w:hAnsi="Arial"/>
                    <w:b/>
                    <w:bCs/>
                    <w:noProof w:val="0"/>
                    <w:sz w:val="26"/>
                    <w:szCs w:val="26"/>
                    <w:rtl/>
                  </w:rPr>
                  <w:t>גל אלרם</w:t>
                </w:r>
              </w:sdtContent>
            </w:sdt>
          </w:p>
          <w:p w:rsidR="003763AB" w:rsidRDefault="001C6365">
            <w:pPr>
              <w:rPr>
                <w:sz w:val="26"/>
                <w:szCs w:val="26"/>
                <w:rtl/>
              </w:rPr>
            </w:pPr>
            <w:sdt>
              <w:sdtPr>
                <w:rPr>
                  <w:sz w:val="26"/>
                  <w:szCs w:val="26"/>
                  <w:rtl/>
                </w:rPr>
                <w:alias w:val="1571"/>
                <w:tag w:val="1571"/>
                <w:id w:val="-550691134"/>
                <w:text w:multiLine="1"/>
              </w:sdtPr>
              <w:sdtEndPr/>
              <w:sdtContent>
                <w:r w:rsidR="001F5DB6">
                  <w:rPr>
                    <w:rFonts w:ascii="Arial" w:hAnsi="Arial"/>
                    <w:b/>
                    <w:bCs/>
                    <w:noProof w:val="0"/>
                    <w:sz w:val="26"/>
                    <w:szCs w:val="26"/>
                    <w:rtl/>
                  </w:rPr>
                  <w:t>11</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704440857"/>
                <w:text w:multiLine="1"/>
              </w:sdtPr>
              <w:sdtEndPr/>
              <w:sdtContent>
                <w:r w:rsidR="001F5DB6">
                  <w:rPr>
                    <w:rFonts w:ascii="Arial" w:hAnsi="Arial"/>
                    <w:b/>
                    <w:bCs/>
                    <w:noProof w:val="0"/>
                    <w:sz w:val="26"/>
                    <w:szCs w:val="26"/>
                    <w:rtl/>
                  </w:rPr>
                  <w:t>טי.אל.טי.איי.איי.איי.פי. רכישות בע"מ</w:t>
                </w:r>
              </w:sdtContent>
            </w:sdt>
          </w:p>
          <w:p w:rsidR="003763AB" w:rsidRDefault="001C6365">
            <w:pPr>
              <w:rPr>
                <w:sz w:val="26"/>
                <w:szCs w:val="26"/>
                <w:rtl/>
              </w:rPr>
            </w:pPr>
            <w:sdt>
              <w:sdtPr>
                <w:rPr>
                  <w:sz w:val="26"/>
                  <w:szCs w:val="26"/>
                  <w:rtl/>
                </w:rPr>
                <w:alias w:val="1571"/>
                <w:tag w:val="1571"/>
                <w:id w:val="-759671437"/>
                <w:text w:multiLine="1"/>
              </w:sdtPr>
              <w:sdtEndPr/>
              <w:sdtContent>
                <w:r w:rsidR="001F5DB6">
                  <w:rPr>
                    <w:rFonts w:ascii="Arial" w:hAnsi="Arial"/>
                    <w:b/>
                    <w:bCs/>
                    <w:noProof w:val="0"/>
                    <w:sz w:val="26"/>
                    <w:szCs w:val="26"/>
                    <w:rtl/>
                  </w:rPr>
                  <w:t>12</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425884254"/>
                <w:text w:multiLine="1"/>
              </w:sdtPr>
              <w:sdtEndPr/>
              <w:sdtContent>
                <w:r w:rsidR="001F5DB6">
                  <w:rPr>
                    <w:rFonts w:ascii="Arial" w:hAnsi="Arial"/>
                    <w:b/>
                    <w:bCs/>
                    <w:noProof w:val="0"/>
                    <w:sz w:val="26"/>
                    <w:szCs w:val="26"/>
                    <w:rtl/>
                  </w:rPr>
                  <w:t>דניאל נפתלי</w:t>
                </w:r>
              </w:sdtContent>
            </w:sdt>
          </w:p>
          <w:p w:rsidR="003763AB" w:rsidRDefault="001C6365">
            <w:pPr>
              <w:rPr>
                <w:sz w:val="26"/>
                <w:szCs w:val="26"/>
                <w:rtl/>
              </w:rPr>
            </w:pPr>
            <w:sdt>
              <w:sdtPr>
                <w:rPr>
                  <w:sz w:val="26"/>
                  <w:szCs w:val="26"/>
                  <w:rtl/>
                </w:rPr>
                <w:alias w:val="1571"/>
                <w:tag w:val="1571"/>
                <w:id w:val="1194039878"/>
                <w:text w:multiLine="1"/>
              </w:sdtPr>
              <w:sdtEndPr/>
              <w:sdtContent>
                <w:r w:rsidR="001F5DB6">
                  <w:rPr>
                    <w:rFonts w:ascii="Arial" w:hAnsi="Arial"/>
                    <w:b/>
                    <w:bCs/>
                    <w:noProof w:val="0"/>
                    <w:sz w:val="26"/>
                    <w:szCs w:val="26"/>
                    <w:rtl/>
                  </w:rPr>
                  <w:t>13</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633452208"/>
                <w:text w:multiLine="1"/>
              </w:sdtPr>
              <w:sdtEndPr/>
              <w:sdtContent>
                <w:r w:rsidR="001F5DB6">
                  <w:rPr>
                    <w:rFonts w:ascii="Arial" w:hAnsi="Arial"/>
                    <w:b/>
                    <w:bCs/>
                    <w:noProof w:val="0"/>
                    <w:sz w:val="26"/>
                    <w:szCs w:val="26"/>
                    <w:rtl/>
                  </w:rPr>
                  <w:t>עומר עוז</w:t>
                </w:r>
              </w:sdtContent>
            </w:sdt>
          </w:p>
          <w:p w:rsidR="003763AB" w:rsidRDefault="001C6365">
            <w:pPr>
              <w:rPr>
                <w:sz w:val="26"/>
                <w:szCs w:val="26"/>
                <w:rtl/>
              </w:rPr>
            </w:pPr>
            <w:sdt>
              <w:sdtPr>
                <w:rPr>
                  <w:sz w:val="26"/>
                  <w:szCs w:val="26"/>
                  <w:rtl/>
                </w:rPr>
                <w:alias w:val="1571"/>
                <w:tag w:val="1571"/>
                <w:id w:val="-1176420001"/>
                <w:text w:multiLine="1"/>
              </w:sdtPr>
              <w:sdtEndPr/>
              <w:sdtContent>
                <w:r w:rsidR="001F5DB6">
                  <w:rPr>
                    <w:rFonts w:ascii="Arial" w:hAnsi="Arial"/>
                    <w:b/>
                    <w:bCs/>
                    <w:noProof w:val="0"/>
                    <w:sz w:val="26"/>
                    <w:szCs w:val="26"/>
                    <w:rtl/>
                  </w:rPr>
                  <w:t>14</w:t>
                </w:r>
              </w:sdtContent>
            </w:sdt>
            <w:r w:rsidR="0094424E" w:rsidRPr="00FA4EAF">
              <w:rPr>
                <w:rFonts w:ascii="Arial" w:hAnsi="Arial"/>
                <w:b/>
                <w:bCs/>
                <w:noProof w:val="0"/>
                <w:sz w:val="26"/>
                <w:szCs w:val="26"/>
                <w:rtl/>
              </w:rPr>
              <w:t>.</w:t>
            </w:r>
            <w:r w:rsidR="0094424E" w:rsidRPr="00FA4EAF">
              <w:rPr>
                <w:rFonts w:ascii="Arial" w:hAnsi="Arial" w:hint="cs"/>
                <w:b/>
                <w:bCs/>
                <w:noProof w:val="0"/>
                <w:sz w:val="26"/>
                <w:szCs w:val="26"/>
                <w:rtl/>
              </w:rPr>
              <w:t xml:space="preserve"> </w:t>
            </w:r>
            <w:sdt>
              <w:sdtPr>
                <w:rPr>
                  <w:sz w:val="26"/>
                  <w:szCs w:val="26"/>
                  <w:rtl/>
                </w:rPr>
                <w:alias w:val="1486"/>
                <w:tag w:val="1486"/>
                <w:id w:val="1513568818"/>
                <w:text w:multiLine="1"/>
              </w:sdtPr>
              <w:sdtEndPr/>
              <w:sdtContent>
                <w:r w:rsidR="001F5DB6">
                  <w:rPr>
                    <w:rFonts w:ascii="Arial" w:hAnsi="Arial"/>
                    <w:b/>
                    <w:bCs/>
                    <w:noProof w:val="0"/>
                    <w:sz w:val="26"/>
                    <w:szCs w:val="26"/>
                    <w:rtl/>
                  </w:rPr>
                  <w:t>דן עמית</w:t>
                </w:r>
              </w:sdtContent>
            </w:sdt>
          </w:p>
          <w:p w:rsidR="0094424E" w:rsidRPr="00FA4EAF" w:rsidRDefault="001D3441">
            <w:pPr>
              <w:rPr>
                <w:b/>
                <w:bCs/>
                <w:noProof w:val="0"/>
                <w:sz w:val="26"/>
                <w:szCs w:val="26"/>
                <w:rtl/>
              </w:rPr>
            </w:pPr>
            <w:r>
              <w:rPr>
                <w:rFonts w:hint="cs"/>
                <w:sz w:val="26"/>
                <w:szCs w:val="26"/>
                <w:rtl/>
              </w:rPr>
              <w:t>ע"י ב"כ עו"ד</w:t>
            </w:r>
            <w:r w:rsidR="00EB5012">
              <w:rPr>
                <w:rFonts w:hint="cs"/>
                <w:sz w:val="26"/>
                <w:szCs w:val="26"/>
                <w:rtl/>
              </w:rPr>
              <w:t xml:space="preserve"> עוז קינן</w:t>
            </w:r>
          </w:p>
        </w:tc>
      </w:tr>
      <w:tr w:rsidR="004C17EE" w:rsidRPr="00FA4EAF" w:rsidTr="00D620FD">
        <w:trPr>
          <w:jc w:val="center"/>
        </w:trPr>
        <w:tc>
          <w:tcPr>
            <w:tcW w:w="8820" w:type="dxa"/>
            <w:gridSpan w:val="3"/>
          </w:tcPr>
          <w:p w:rsidR="005200DE" w:rsidRDefault="005200DE">
            <w:pPr>
              <w:rPr>
                <w:rFonts w:ascii="Arial" w:hAnsi="Arial"/>
                <w:b/>
                <w:bCs/>
                <w:noProof w:val="0"/>
                <w:sz w:val="26"/>
                <w:szCs w:val="26"/>
                <w:rtl/>
              </w:rPr>
            </w:pPr>
          </w:p>
        </w:tc>
      </w:tr>
    </w:tbl>
    <w:p w:rsidR="0094424E" w:rsidRDefault="0094424E" w:rsidP="0094424E">
      <w:pPr>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tl/>
              </w:rPr>
            </w:pPr>
            <w:r>
              <w:rPr>
                <w:rFonts w:ascii="Arial" w:hAnsi="Arial" w:hint="cs"/>
                <w:b/>
                <w:bCs/>
                <w:noProof w:val="0"/>
                <w:sz w:val="28"/>
                <w:szCs w:val="28"/>
                <w:u w:val="single"/>
                <w:rtl/>
              </w:rPr>
              <w:t>החלטה</w:t>
            </w:r>
          </w:p>
          <w:p w:rsidR="00703D03" w:rsidRDefault="00703D03" w:rsidP="00703D03">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p>
    <w:p w:rsidR="00EB5012" w:rsidRDefault="00EB5012" w:rsidP="00EB5012">
      <w:pPr>
        <w:spacing w:line="360" w:lineRule="auto"/>
        <w:jc w:val="both"/>
      </w:pPr>
      <w:bookmarkStart w:id="1" w:name="NGCSBookmark"/>
      <w:bookmarkEnd w:id="1"/>
      <w:r>
        <w:rPr>
          <w:rtl/>
        </w:rPr>
        <w:t>לפניי בקשה לאישור תובענה ייצוגית בגין משלוח הודעות פרסומת בסכום מוערך של 10 מיליון ש"ח.</w:t>
      </w:r>
    </w:p>
    <w:p w:rsidR="00EB5012" w:rsidRDefault="00EB5012" w:rsidP="00EB5012">
      <w:pPr>
        <w:spacing w:line="360" w:lineRule="auto"/>
        <w:jc w:val="both"/>
        <w:rPr>
          <w:rFonts w:ascii="David" w:hAnsi="David"/>
          <w:b/>
          <w:bCs/>
          <w:sz w:val="28"/>
          <w:szCs w:val="28"/>
          <w:u w:val="single"/>
          <w:rtl/>
        </w:rPr>
      </w:pPr>
    </w:p>
    <w:p w:rsidR="00EB5012" w:rsidRDefault="00EB5012" w:rsidP="00EB5012">
      <w:pPr>
        <w:pStyle w:val="ad"/>
        <w:numPr>
          <w:ilvl w:val="0"/>
          <w:numId w:val="1"/>
        </w:numPr>
        <w:spacing w:line="360" w:lineRule="auto"/>
        <w:jc w:val="both"/>
        <w:rPr>
          <w:rFonts w:ascii="David" w:hAnsi="David" w:cs="David"/>
          <w:b/>
          <w:bCs/>
          <w:sz w:val="28"/>
          <w:szCs w:val="28"/>
          <w:u w:val="single"/>
          <w:rtl/>
        </w:rPr>
      </w:pPr>
      <w:r>
        <w:rPr>
          <w:rFonts w:ascii="David" w:hAnsi="David" w:cs="David"/>
          <w:b/>
          <w:bCs/>
          <w:sz w:val="28"/>
          <w:szCs w:val="28"/>
          <w:u w:val="single"/>
          <w:rtl/>
        </w:rPr>
        <w:t>רקע עובדתי וטיעוני הצדדים</w:t>
      </w:r>
    </w:p>
    <w:p w:rsidR="00EB5012" w:rsidRDefault="00EB5012" w:rsidP="00EB5012">
      <w:pPr>
        <w:spacing w:line="360" w:lineRule="auto"/>
        <w:ind w:left="360"/>
        <w:jc w:val="both"/>
        <w:rPr>
          <w:rFonts w:ascii="David" w:hAnsi="David"/>
          <w:rtl/>
        </w:rPr>
      </w:pPr>
    </w:p>
    <w:p w:rsidR="00EB5012" w:rsidRDefault="00EB5012" w:rsidP="00EB5012">
      <w:pPr>
        <w:numPr>
          <w:ilvl w:val="0"/>
          <w:numId w:val="2"/>
        </w:numPr>
        <w:spacing w:line="360" w:lineRule="auto"/>
        <w:jc w:val="both"/>
        <w:rPr>
          <w:rFonts w:ascii="David" w:hAnsi="David"/>
        </w:rPr>
      </w:pPr>
      <w:r>
        <w:rPr>
          <w:rFonts w:ascii="David" w:hAnsi="David"/>
          <w:rtl/>
        </w:rPr>
        <w:t xml:space="preserve">ביום 10.8.21 הגיש המבקש בקשה לאישור תובענה ייצוגית (להלן – </w:t>
      </w:r>
      <w:r>
        <w:rPr>
          <w:rFonts w:ascii="David" w:hAnsi="David"/>
          <w:b/>
          <w:bCs/>
          <w:rtl/>
        </w:rPr>
        <w:t>הבקשה</w:t>
      </w:r>
      <w:r>
        <w:rPr>
          <w:rFonts w:ascii="David" w:hAnsi="David"/>
          <w:rtl/>
        </w:rPr>
        <w:t xml:space="preserve"> או </w:t>
      </w:r>
      <w:r>
        <w:rPr>
          <w:rFonts w:ascii="David" w:hAnsi="David"/>
          <w:b/>
          <w:bCs/>
          <w:rtl/>
        </w:rPr>
        <w:t>בקשת האישור</w:t>
      </w:r>
      <w:r>
        <w:rPr>
          <w:rFonts w:ascii="David" w:hAnsi="David"/>
          <w:rtl/>
        </w:rPr>
        <w:t xml:space="preserve">) כנגד המשיבים, לפיצוי בגין קבלת הודעות פרסומת ללא הסכמה. </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color w:val="FF0000"/>
        </w:rPr>
      </w:pPr>
      <w:r>
        <w:rPr>
          <w:rFonts w:ascii="David" w:hAnsi="David"/>
          <w:rtl/>
        </w:rPr>
        <w:lastRenderedPageBreak/>
        <w:t xml:space="preserve">המשיבה 1 הינה חברה המתפעלת ומנהלת את מועדון הלילה והריקודים "לייט - </w:t>
      </w:r>
      <w:r>
        <w:rPr>
          <w:rFonts w:ascii="David" w:hAnsi="David"/>
        </w:rPr>
        <w:t>LIGHT</w:t>
      </w:r>
      <w:r>
        <w:rPr>
          <w:rFonts w:ascii="David" w:hAnsi="David"/>
          <w:rtl/>
        </w:rPr>
        <w:t xml:space="preserve">", המצוי בנמל תל אביב (להלן - </w:t>
      </w:r>
      <w:r>
        <w:rPr>
          <w:rFonts w:ascii="David" w:hAnsi="David"/>
          <w:b/>
          <w:bCs/>
          <w:rtl/>
        </w:rPr>
        <w:t>המועדון</w:t>
      </w:r>
      <w:r>
        <w:rPr>
          <w:rFonts w:ascii="David" w:hAnsi="David"/>
          <w:rtl/>
        </w:rPr>
        <w:t xml:space="preserve">). המשיבה 2 הינה בעלת המניות היחידה במשיבה 1.  המשיבים 14-3 או חלקם הינם בעלי מניות ו/או דירקטורים במשיבה 1 או במשיבה 2 (נסחי החברות נספח א' לבקשה). </w:t>
      </w:r>
    </w:p>
    <w:p w:rsidR="00EB5012" w:rsidRDefault="00EB5012" w:rsidP="00EB5012">
      <w:pPr>
        <w:pStyle w:val="ad"/>
        <w:rPr>
          <w:rFonts w:ascii="David" w:hAnsi="David"/>
        </w:rPr>
      </w:pPr>
    </w:p>
    <w:p w:rsidR="00EB5012" w:rsidRDefault="00EB5012" w:rsidP="00EB5012">
      <w:pPr>
        <w:spacing w:line="360" w:lineRule="auto"/>
        <w:ind w:left="360"/>
        <w:jc w:val="both"/>
        <w:rPr>
          <w:rFonts w:ascii="David" w:hAnsi="David"/>
          <w:rtl/>
        </w:rPr>
      </w:pPr>
      <w:r>
        <w:rPr>
          <w:rFonts w:ascii="David" w:hAnsi="David"/>
          <w:rtl/>
        </w:rPr>
        <w:t>המבקש הינו בעל טלפון נייד, בו נתקבלו בחודשים מאי-יוני 2021 שלושה מסרונים (</w:t>
      </w:r>
      <w:r>
        <w:rPr>
          <w:rFonts w:ascii="David" w:hAnsi="David"/>
        </w:rPr>
        <w:t>SMS</w:t>
      </w:r>
      <w:r>
        <w:rPr>
          <w:rFonts w:ascii="David" w:hAnsi="David"/>
          <w:rtl/>
        </w:rPr>
        <w:t>) של הודעות המפרסמות אירועים במועדון:</w:t>
      </w:r>
      <w:r>
        <w:rPr>
          <w:rFonts w:ascii="David" w:hAnsi="David"/>
          <w:color w:val="FF0000"/>
          <w:rtl/>
        </w:rPr>
        <w:t xml:space="preserve"> </w:t>
      </w:r>
      <w:r>
        <w:rPr>
          <w:rFonts w:ascii="David" w:hAnsi="David"/>
          <w:rtl/>
        </w:rPr>
        <w:t xml:space="preserve">ביום 27.5.21 קיבל המבקש בטלפון הנייד שלו הודעת פרסומת ממקור הנקרא </w:t>
      </w:r>
      <w:r>
        <w:rPr>
          <w:rFonts w:ascii="David" w:hAnsi="David"/>
        </w:rPr>
        <w:t>LIGHT"</w:t>
      </w:r>
      <w:r>
        <w:rPr>
          <w:rFonts w:ascii="David" w:hAnsi="David"/>
          <w:rtl/>
        </w:rPr>
        <w:t xml:space="preserve">"; ביום 3.6.21 קיבל המבקש הודעה נוספת ממקור הנקרא  </w:t>
      </w:r>
      <w:r>
        <w:rPr>
          <w:rFonts w:ascii="David" w:hAnsi="David"/>
        </w:rPr>
        <w:t>friendZONE</w:t>
      </w:r>
      <w:r>
        <w:rPr>
          <w:rFonts w:ascii="David" w:hAnsi="David"/>
          <w:rtl/>
        </w:rPr>
        <w:t>"; וביום 10.6.21 קיבל המבקש הודעה ממקור הנקרא "</w:t>
      </w:r>
      <w:r>
        <w:rPr>
          <w:rFonts w:ascii="David" w:hAnsi="David"/>
        </w:rPr>
        <w:t>LighTLV</w:t>
      </w:r>
      <w:r>
        <w:rPr>
          <w:rFonts w:ascii="David" w:hAnsi="David"/>
          <w:rtl/>
        </w:rPr>
        <w:t xml:space="preserve">" (העתקי מסרוני ההודעות צורפו כנספח ב' לבקשה; להלן - </w:t>
      </w:r>
      <w:r>
        <w:rPr>
          <w:rFonts w:ascii="David" w:hAnsi="David"/>
          <w:b/>
          <w:bCs/>
          <w:rtl/>
        </w:rPr>
        <w:t>ההודעות</w:t>
      </w:r>
      <w:r>
        <w:rPr>
          <w:rFonts w:ascii="David" w:hAnsi="David"/>
          <w:rtl/>
        </w:rPr>
        <w:t xml:space="preserve">).  </w:t>
      </w:r>
    </w:p>
    <w:p w:rsidR="00EB5012" w:rsidRDefault="00EB5012" w:rsidP="00EB5012">
      <w:pPr>
        <w:spacing w:line="360" w:lineRule="auto"/>
        <w:ind w:left="360"/>
        <w:jc w:val="both"/>
        <w:rPr>
          <w:rFonts w:ascii="David" w:hAnsi="David"/>
          <w:rtl/>
        </w:rPr>
      </w:pPr>
    </w:p>
    <w:p w:rsidR="00EB5012" w:rsidRDefault="00EB5012" w:rsidP="00EB5012">
      <w:pPr>
        <w:numPr>
          <w:ilvl w:val="0"/>
          <w:numId w:val="2"/>
        </w:numPr>
        <w:spacing w:line="360" w:lineRule="auto"/>
        <w:jc w:val="both"/>
        <w:rPr>
          <w:rFonts w:ascii="David" w:hAnsi="David"/>
          <w:rtl/>
        </w:rPr>
      </w:pPr>
      <w:r>
        <w:rPr>
          <w:rFonts w:ascii="David" w:hAnsi="David"/>
          <w:rtl/>
        </w:rPr>
        <w:t xml:space="preserve">לאחר קבלת שתי ההודעות הראשונות, נכנס המבקש  ביום 4.6.11 אל דף הפייסבוק העסקי של המשיבה 1, ובאמצעות האפליקציה להעברת מסרונים </w:t>
      </w:r>
      <w:r>
        <w:rPr>
          <w:rFonts w:ascii="David" w:hAnsi="David"/>
        </w:rPr>
        <w:t>Facebook Messenger</w:t>
      </w:r>
      <w:r>
        <w:rPr>
          <w:rFonts w:ascii="David" w:hAnsi="David"/>
          <w:rtl/>
        </w:rPr>
        <w:t xml:space="preserve"> ביקש להסירו מרשימת התפוצה שלה, וכן ביקש לדעת כיצד הגיע מספרו לידיה.  המבקש נענה בו ביום על ידי המשיבה 1 ולאחר חילופי דברים נאמר לו כי יטפלו בבקשתו. </w:t>
      </w:r>
    </w:p>
    <w:p w:rsidR="00EB5012" w:rsidRDefault="00EB5012" w:rsidP="00EB5012">
      <w:pPr>
        <w:spacing w:line="360" w:lineRule="auto"/>
        <w:ind w:left="360"/>
        <w:jc w:val="both"/>
        <w:rPr>
          <w:rFonts w:ascii="David" w:hAnsi="David"/>
        </w:rPr>
      </w:pPr>
    </w:p>
    <w:p w:rsidR="00EB5012" w:rsidRDefault="00EB5012" w:rsidP="00EB5012">
      <w:pPr>
        <w:spacing w:line="360" w:lineRule="auto"/>
        <w:ind w:left="360"/>
        <w:jc w:val="both"/>
        <w:rPr>
          <w:rFonts w:ascii="David" w:hAnsi="David"/>
          <w:rtl/>
        </w:rPr>
      </w:pPr>
      <w:r>
        <w:rPr>
          <w:rFonts w:ascii="David" w:hAnsi="David"/>
          <w:rtl/>
        </w:rPr>
        <w:t xml:space="preserve">ביום 10.6.21 קיבל המבקש הודעה נוספת, כאמור לעיל. המבקש פנה שוב למשיבה 1 באותו אופן בעניין הודעה זו ובוצע בירור נוסף מול המשיבה 1. המבקש הוסיף בפנייה זו  למשיבה 1 כי גם חברו קיבל 3 הודעות מבלי שנתן הסכמתו (התכתובת עם המשיבה 1 צורפה כנספח ג'; העתקי ההודעות לחברו של המבקש צורפו כנספח ד'). </w:t>
      </w:r>
      <w:r>
        <w:rPr>
          <w:rFonts w:ascii="David" w:hAnsi="David"/>
        </w:rPr>
        <w:t xml:space="preserve"> </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rPr>
      </w:pPr>
      <w:r>
        <w:rPr>
          <w:rFonts w:ascii="David" w:hAnsi="David"/>
          <w:rtl/>
        </w:rPr>
        <w:t xml:space="preserve">בהודעתו מיום 12.6.21, ביקש המבקש מהמשיבה 1 פיצוי בגין משלוח המסרונים בסך 8,000 ₪ שאם לא כן יגיש נגדה בקשה לאישור תביעה ייצוגית. לאחר שהצדדים לא הגיעו להסכמה בעניין, הוגשה התביעה דנא, בצירוף הבקשה לאישור התביעה כתובענה ייצוגית, לפי חוק תובענות ייצוגיות, תשס"ו - 2006 (להלן - </w:t>
      </w:r>
      <w:r>
        <w:rPr>
          <w:rFonts w:ascii="David" w:hAnsi="David"/>
          <w:b/>
          <w:bCs/>
          <w:rtl/>
        </w:rPr>
        <w:t>חוק תובענות ייצוגיות</w:t>
      </w:r>
      <w:r>
        <w:rPr>
          <w:rFonts w:ascii="David" w:hAnsi="David"/>
          <w:rtl/>
        </w:rPr>
        <w:t>).</w:t>
      </w:r>
    </w:p>
    <w:p w:rsidR="00EB5012" w:rsidRDefault="00EB5012" w:rsidP="00EB5012">
      <w:pPr>
        <w:spacing w:line="360" w:lineRule="auto"/>
        <w:jc w:val="both"/>
        <w:rPr>
          <w:rFonts w:ascii="David" w:hAnsi="David"/>
        </w:rPr>
      </w:pPr>
    </w:p>
    <w:p w:rsidR="00EB5012" w:rsidRDefault="00EB5012" w:rsidP="00EB5012">
      <w:pPr>
        <w:spacing w:line="360" w:lineRule="auto"/>
        <w:jc w:val="both"/>
        <w:rPr>
          <w:rFonts w:ascii="David" w:hAnsi="David"/>
          <w:b/>
          <w:bCs/>
          <w:sz w:val="28"/>
          <w:szCs w:val="28"/>
          <w:u w:val="single"/>
          <w:rtl/>
        </w:rPr>
      </w:pPr>
      <w:r>
        <w:rPr>
          <w:rFonts w:ascii="David" w:hAnsi="David"/>
          <w:b/>
          <w:bCs/>
          <w:sz w:val="28"/>
          <w:szCs w:val="28"/>
          <w:rtl/>
        </w:rPr>
        <w:t xml:space="preserve">א'1. </w:t>
      </w:r>
      <w:r>
        <w:rPr>
          <w:rFonts w:ascii="David" w:hAnsi="David"/>
          <w:b/>
          <w:bCs/>
          <w:sz w:val="28"/>
          <w:szCs w:val="28"/>
          <w:u w:val="single"/>
          <w:rtl/>
        </w:rPr>
        <w:t>תמצית הטענות בבקשה</w:t>
      </w:r>
    </w:p>
    <w:p w:rsidR="00EB5012" w:rsidRDefault="00EB5012" w:rsidP="00EB5012">
      <w:pPr>
        <w:spacing w:line="360" w:lineRule="auto"/>
        <w:ind w:left="360"/>
        <w:jc w:val="both"/>
        <w:rPr>
          <w:rFonts w:ascii="David" w:hAnsi="David"/>
          <w:rtl/>
        </w:rPr>
      </w:pPr>
    </w:p>
    <w:p w:rsidR="00EB5012" w:rsidRDefault="00EB5012" w:rsidP="00EB5012">
      <w:pPr>
        <w:numPr>
          <w:ilvl w:val="0"/>
          <w:numId w:val="2"/>
        </w:numPr>
        <w:spacing w:line="360" w:lineRule="auto"/>
        <w:jc w:val="both"/>
        <w:rPr>
          <w:rFonts w:ascii="David" w:hAnsi="David"/>
          <w:rtl/>
        </w:rPr>
      </w:pPr>
      <w:r>
        <w:rPr>
          <w:rFonts w:ascii="David" w:hAnsi="David"/>
          <w:rtl/>
        </w:rPr>
        <w:t xml:space="preserve">טוען המבקש כי המשיבים שלחו אליו ואל חברו הודעות הכוללות תוכן פרסומי מבלי שמסרו להם את פרטיהם ומבלי שנתנו להם את הסכמתם מלכתחילה, תוך מסחר בפרטיהם האישיים ומתוך מטרה להשיא את רווחיהן ואף המשיכו בכך גם לאחר שביקש להסירם מרשימות </w:t>
      </w:r>
      <w:r>
        <w:rPr>
          <w:rFonts w:ascii="David" w:hAnsi="David"/>
          <w:rtl/>
        </w:rPr>
        <w:lastRenderedPageBreak/>
        <w:t>התפוצה; כי משלוח הודעות אלה פגע בפרטיותו ובאוטונומיה שלו והסבה לו טרדה וחוסר נוחות.</w:t>
      </w:r>
    </w:p>
    <w:p w:rsidR="00EB5012" w:rsidRDefault="00EB5012" w:rsidP="00EB5012">
      <w:pPr>
        <w:spacing w:line="360" w:lineRule="auto"/>
        <w:ind w:left="360"/>
        <w:jc w:val="both"/>
        <w:rPr>
          <w:rFonts w:ascii="David" w:hAnsi="David"/>
          <w:rtl/>
        </w:rPr>
      </w:pPr>
    </w:p>
    <w:p w:rsidR="00EB5012" w:rsidRDefault="00EB5012" w:rsidP="00EB5012">
      <w:pPr>
        <w:spacing w:line="360" w:lineRule="auto"/>
        <w:ind w:left="360"/>
        <w:jc w:val="both"/>
        <w:rPr>
          <w:rFonts w:ascii="David" w:hAnsi="David"/>
          <w:rtl/>
        </w:rPr>
      </w:pPr>
      <w:r>
        <w:rPr>
          <w:rFonts w:ascii="David" w:hAnsi="David"/>
          <w:rtl/>
        </w:rPr>
        <w:t xml:space="preserve">המבקש טוען כי  פעולות המשיבים האמורות מהוות הפרה של סעיף 30א(ב) ו – 30א(ה)(2) לחוק התקשורת (בזק ושידורים), התשמ"ב - 1982 (להלן – </w:t>
      </w:r>
      <w:r>
        <w:rPr>
          <w:rFonts w:ascii="David" w:hAnsi="David"/>
          <w:b/>
          <w:bCs/>
          <w:rtl/>
        </w:rPr>
        <w:t>חוק התקשורת)</w:t>
      </w:r>
      <w:r>
        <w:rPr>
          <w:rFonts w:ascii="David" w:hAnsi="David"/>
          <w:rtl/>
        </w:rPr>
        <w:t xml:space="preserve">, הפרת חובה חקוקה והפרת חוק הגנת הפרטיות, התשמ"א - 1981 (להלן – </w:t>
      </w:r>
      <w:r>
        <w:rPr>
          <w:rFonts w:ascii="David" w:hAnsi="David"/>
          <w:b/>
          <w:bCs/>
          <w:rtl/>
        </w:rPr>
        <w:t>חוק הגנת הפרטיות</w:t>
      </w:r>
      <w:r>
        <w:rPr>
          <w:rFonts w:ascii="David" w:hAnsi="David"/>
          <w:rtl/>
        </w:rPr>
        <w:t xml:space="preserve">) וכן הפרת חיקוקים נוספים כאמור בבקשה. </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rtl/>
        </w:rPr>
      </w:pPr>
      <w:r>
        <w:rPr>
          <w:rFonts w:ascii="David" w:hAnsi="David"/>
          <w:rtl/>
        </w:rPr>
        <w:t xml:space="preserve">טוען המבקש עוד כי בקשתו עומדת בתנאי חוק תובענות ייצוגיות וזו הדרך היעילה וההוגנת להכריע במחלוקת. </w:t>
      </w:r>
    </w:p>
    <w:p w:rsidR="00EB5012" w:rsidRDefault="00EB5012" w:rsidP="00EB5012">
      <w:pPr>
        <w:spacing w:line="360" w:lineRule="auto"/>
        <w:jc w:val="both"/>
        <w:rPr>
          <w:rFonts w:ascii="David" w:hAnsi="David"/>
          <w:rtl/>
        </w:rPr>
      </w:pPr>
    </w:p>
    <w:p w:rsidR="00EB5012" w:rsidRDefault="00EB5012" w:rsidP="00EB5012">
      <w:pPr>
        <w:numPr>
          <w:ilvl w:val="0"/>
          <w:numId w:val="2"/>
        </w:numPr>
        <w:spacing w:line="360" w:lineRule="auto"/>
        <w:jc w:val="both"/>
        <w:rPr>
          <w:rFonts w:ascii="David" w:hAnsi="David"/>
          <w:rtl/>
        </w:rPr>
      </w:pPr>
      <w:r>
        <w:rPr>
          <w:rFonts w:ascii="David" w:hAnsi="David"/>
          <w:rtl/>
        </w:rPr>
        <w:t xml:space="preserve">קבוצת התובעים הוגדרה כך: </w:t>
      </w:r>
    </w:p>
    <w:p w:rsidR="00EB5012" w:rsidRDefault="00EB5012" w:rsidP="00EB5012">
      <w:pPr>
        <w:spacing w:line="360" w:lineRule="auto"/>
        <w:ind w:left="360"/>
        <w:jc w:val="both"/>
        <w:rPr>
          <w:rFonts w:ascii="David" w:hAnsi="David"/>
          <w:rtl/>
        </w:rPr>
      </w:pPr>
    </w:p>
    <w:p w:rsidR="00EB5012" w:rsidRDefault="00EB5012" w:rsidP="00F350BB">
      <w:pPr>
        <w:pStyle w:val="ad"/>
        <w:spacing w:line="360" w:lineRule="auto"/>
        <w:ind w:left="651" w:right="567"/>
        <w:jc w:val="both"/>
        <w:rPr>
          <w:rFonts w:ascii="David" w:hAnsi="David"/>
          <w:rtl/>
        </w:rPr>
      </w:pPr>
      <w:r>
        <w:rPr>
          <w:rFonts w:ascii="David" w:hAnsi="David"/>
          <w:rtl/>
        </w:rPr>
        <w:t>"</w:t>
      </w:r>
      <w:r w:rsidRPr="00F350BB">
        <w:rPr>
          <w:rFonts w:ascii="David" w:hAnsi="David" w:cs="David"/>
          <w:sz w:val="24"/>
          <w:szCs w:val="24"/>
          <w:rtl/>
        </w:rPr>
        <w:t>כל הנמענים שקיבלו באמצעות מסרונים דברי פרסומת אשר תוכנם עשוי לפרסם את עסקי המשיבות או לקדם את מטרותיהן, וזאת מבלי שנתנו לכך הסכמה מפורשת מראש ובכתב ו/או מבלי שמסרו למשיבות את פרטי ההתקשרות עמם ו/או מבלי שצוינו במסרונים שמן של המשיבות או דרכי יצירת הקשר עמן</w:t>
      </w:r>
      <w:r>
        <w:rPr>
          <w:rFonts w:ascii="David" w:hAnsi="David"/>
          <w:rtl/>
        </w:rPr>
        <w:t>".</w:t>
      </w:r>
    </w:p>
    <w:p w:rsidR="00EB5012" w:rsidRDefault="00EB5012" w:rsidP="00EB5012">
      <w:pPr>
        <w:spacing w:line="360" w:lineRule="auto"/>
        <w:ind w:left="360"/>
        <w:jc w:val="both"/>
        <w:rPr>
          <w:rFonts w:ascii="David" w:hAnsi="David"/>
          <w:rtl/>
        </w:rPr>
      </w:pPr>
    </w:p>
    <w:p w:rsidR="00EB5012" w:rsidRDefault="00EB5012" w:rsidP="00EB5012">
      <w:pPr>
        <w:numPr>
          <w:ilvl w:val="0"/>
          <w:numId w:val="2"/>
        </w:numPr>
        <w:spacing w:line="360" w:lineRule="auto"/>
        <w:jc w:val="both"/>
        <w:rPr>
          <w:rFonts w:ascii="David" w:hAnsi="David"/>
        </w:rPr>
      </w:pPr>
      <w:r>
        <w:rPr>
          <w:rFonts w:ascii="David" w:hAnsi="David"/>
          <w:rtl/>
        </w:rPr>
        <w:t xml:space="preserve">הסעד המבוקש לכל חבר בקבוצה הינו תשלום פיצוי בלתי ממוני בסך של 300 ₪ בגין כל דבר פרסומת שקיבל בניגוד לדין, פיצוי בלתי ממוני בסך של 1,000 ₪ בגין פגיעה בפרטיות מכוח חוק הגנת הפרטיות, וכן השבה של כל זכייה והתעשרות שנעשו שלא במשפט. בסך הכל מעריך המבקש את היקף התביעה בסך של כ - 10 מיליון ₪. </w:t>
      </w:r>
    </w:p>
    <w:p w:rsidR="00EB5012" w:rsidRDefault="00EB5012" w:rsidP="00EB5012">
      <w:pPr>
        <w:spacing w:line="360" w:lineRule="auto"/>
        <w:ind w:left="360"/>
        <w:jc w:val="both"/>
        <w:rPr>
          <w:rFonts w:ascii="David" w:hAnsi="David"/>
          <w:rtl/>
        </w:rPr>
      </w:pPr>
    </w:p>
    <w:p w:rsidR="00EB5012" w:rsidRDefault="00EB5012" w:rsidP="00EB5012">
      <w:pPr>
        <w:spacing w:line="360" w:lineRule="auto"/>
        <w:jc w:val="both"/>
        <w:rPr>
          <w:rFonts w:ascii="David" w:hAnsi="David"/>
          <w:b/>
          <w:bCs/>
          <w:sz w:val="28"/>
          <w:szCs w:val="28"/>
          <w:u w:val="single"/>
          <w:rtl/>
        </w:rPr>
      </w:pPr>
      <w:r>
        <w:rPr>
          <w:rFonts w:ascii="David" w:hAnsi="David"/>
          <w:b/>
          <w:bCs/>
          <w:sz w:val="28"/>
          <w:szCs w:val="28"/>
          <w:rtl/>
        </w:rPr>
        <w:t xml:space="preserve">א'2. </w:t>
      </w:r>
      <w:r>
        <w:rPr>
          <w:rFonts w:ascii="David" w:hAnsi="David"/>
          <w:b/>
          <w:bCs/>
          <w:sz w:val="28"/>
          <w:szCs w:val="28"/>
          <w:u w:val="single"/>
          <w:rtl/>
        </w:rPr>
        <w:t>תמצית הטענות בתשובה לבקשת האישור</w:t>
      </w:r>
    </w:p>
    <w:p w:rsidR="00EB5012" w:rsidRDefault="00EB5012" w:rsidP="00EB5012">
      <w:pPr>
        <w:spacing w:line="360" w:lineRule="auto"/>
        <w:ind w:left="360"/>
        <w:jc w:val="both"/>
        <w:rPr>
          <w:rFonts w:ascii="David" w:hAnsi="David"/>
          <w:rtl/>
        </w:rPr>
      </w:pPr>
    </w:p>
    <w:p w:rsidR="00EB5012" w:rsidRDefault="00EB5012" w:rsidP="00EB5012">
      <w:pPr>
        <w:numPr>
          <w:ilvl w:val="0"/>
          <w:numId w:val="2"/>
        </w:numPr>
        <w:spacing w:line="360" w:lineRule="auto"/>
        <w:jc w:val="both"/>
        <w:rPr>
          <w:rFonts w:ascii="David" w:hAnsi="David"/>
          <w:rtl/>
        </w:rPr>
      </w:pPr>
      <w:r>
        <w:rPr>
          <w:rFonts w:ascii="David" w:hAnsi="David"/>
          <w:rtl/>
        </w:rPr>
        <w:t xml:space="preserve">המשיבים טענו בתשובתם, בין היתר, כי הבקשה אינה מבוססת מבחינה עובדתית, כי המשיבים לא שלחו הודעות למבקש והבקשה אינה מבססת עילת תביעה נגדם.  </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rPr>
      </w:pPr>
      <w:r>
        <w:rPr>
          <w:rFonts w:ascii="David" w:hAnsi="David"/>
          <w:rtl/>
        </w:rPr>
        <w:t xml:space="preserve">המשיבים הוסיפו וטענו כי המשיבה 1 התקשרה בהסכם (נספח 1 לתשובה; להלן – </w:t>
      </w:r>
      <w:r>
        <w:rPr>
          <w:rFonts w:ascii="David" w:hAnsi="David"/>
          <w:b/>
          <w:bCs/>
          <w:rtl/>
        </w:rPr>
        <w:t>ההסכם</w:t>
      </w:r>
      <w:r>
        <w:rPr>
          <w:rFonts w:ascii="David" w:hAnsi="David"/>
          <w:rtl/>
        </w:rPr>
        <w:t xml:space="preserve">) עם ה"ה שי פרויקה ואלירן בן חמו, שהינם אנשי יחסי ציבור העוסקים בהפקת מסיבות (להלן – </w:t>
      </w:r>
      <w:r>
        <w:rPr>
          <w:rFonts w:ascii="David" w:hAnsi="David"/>
          <w:b/>
          <w:bCs/>
          <w:rtl/>
        </w:rPr>
        <w:t>המפיקים</w:t>
      </w:r>
      <w:r>
        <w:rPr>
          <w:rFonts w:ascii="David" w:hAnsi="David"/>
          <w:rtl/>
        </w:rPr>
        <w:t xml:space="preserve">). </w:t>
      </w:r>
    </w:p>
    <w:p w:rsidR="00EB5012" w:rsidRDefault="00EB5012" w:rsidP="00EB5012">
      <w:pPr>
        <w:pStyle w:val="ad"/>
        <w:rPr>
          <w:rFonts w:ascii="David" w:hAnsi="David"/>
        </w:rPr>
      </w:pPr>
    </w:p>
    <w:p w:rsidR="00EB5012" w:rsidRDefault="00EB5012" w:rsidP="00EB5012">
      <w:pPr>
        <w:spacing w:line="360" w:lineRule="auto"/>
        <w:ind w:left="360"/>
        <w:jc w:val="both"/>
        <w:rPr>
          <w:rFonts w:ascii="David" w:hAnsi="David"/>
          <w:rtl/>
        </w:rPr>
      </w:pPr>
      <w:r>
        <w:rPr>
          <w:rFonts w:ascii="David" w:hAnsi="David"/>
          <w:rtl/>
        </w:rPr>
        <w:lastRenderedPageBreak/>
        <w:t xml:space="preserve">על פי ההסכם, העמידה המשיבה 1 את המועדון לרשות המפיקים לצורך קיום "ליין מסיבות" </w:t>
      </w:r>
      <w:r>
        <w:rPr>
          <w:rFonts w:ascii="David" w:hAnsi="David"/>
          <w:b/>
          <w:bCs/>
          <w:rtl/>
        </w:rPr>
        <w:t>בימי חמישי בחודשים אפריל - ספטמבר 2021</w:t>
      </w:r>
      <w:r>
        <w:rPr>
          <w:rFonts w:ascii="David" w:hAnsi="David"/>
          <w:rtl/>
        </w:rPr>
        <w:t xml:space="preserve"> (להלן –</w:t>
      </w:r>
      <w:r>
        <w:rPr>
          <w:rFonts w:ascii="David" w:hAnsi="David"/>
          <w:b/>
          <w:bCs/>
          <w:rtl/>
        </w:rPr>
        <w:t xml:space="preserve"> ליין המסיבות</w:t>
      </w:r>
      <w:r>
        <w:rPr>
          <w:rFonts w:ascii="David" w:hAnsi="David"/>
          <w:rtl/>
        </w:rPr>
        <w:t xml:space="preserve">). השיווק בוצע על ידי המפיקים באופן עצמאי והם אלה אשר שלחו את המסרונים שפרסמו את ליין המסיבות ולא את המועדון, אשר הוזכר ככתובת בלבד. כן טענו כי רשימות התפוצה של המפיקים אינן בידם ואין בידם מידע לגבי זהות מקבלי ההודעות מטעם המפיקים והיקפם. טוענים המשיבים כי קיימת להם הגנה מכוח סעיף 15 לפקודת הנזיקין (נוסח חדש) (להלן - </w:t>
      </w:r>
      <w:r>
        <w:rPr>
          <w:rFonts w:ascii="David" w:hAnsi="David"/>
          <w:b/>
          <w:bCs/>
          <w:rtl/>
        </w:rPr>
        <w:t>פקודת הנזיקין</w:t>
      </w:r>
      <w:r>
        <w:rPr>
          <w:rFonts w:ascii="David" w:hAnsi="David"/>
          <w:rtl/>
        </w:rPr>
        <w:t xml:space="preserve">). </w:t>
      </w:r>
    </w:p>
    <w:p w:rsidR="00703D03" w:rsidRDefault="00703D03" w:rsidP="00EB5012">
      <w:pPr>
        <w:spacing w:line="360" w:lineRule="auto"/>
        <w:ind w:left="360"/>
        <w:jc w:val="both"/>
        <w:rPr>
          <w:rFonts w:ascii="David" w:hAnsi="David"/>
          <w:rtl/>
        </w:rPr>
      </w:pPr>
    </w:p>
    <w:p w:rsidR="00EB5012" w:rsidRDefault="00EB5012" w:rsidP="00EB5012">
      <w:pPr>
        <w:spacing w:line="360" w:lineRule="auto"/>
        <w:ind w:left="360"/>
        <w:jc w:val="both"/>
        <w:rPr>
          <w:rFonts w:ascii="David" w:hAnsi="David"/>
          <w:rtl/>
        </w:rPr>
      </w:pPr>
      <w:r>
        <w:rPr>
          <w:rFonts w:ascii="David" w:hAnsi="David"/>
          <w:rtl/>
        </w:rPr>
        <w:t>עוד טענו המשיבים כי יש לראות במפיקים מעין שוכרים של המועדון או ברי רשות לעשות בו שימוש ואם קיימת אחריות למשלוח ההודעות הרי שהיא מוטלת על המפיקים. כן טענו להעדר יריבות בינם לבין המבקש.</w:t>
      </w:r>
    </w:p>
    <w:p w:rsidR="00EB5012" w:rsidRDefault="00EB5012" w:rsidP="00EB5012">
      <w:pPr>
        <w:pStyle w:val="ad"/>
        <w:rPr>
          <w:rFonts w:ascii="David" w:hAnsi="David"/>
        </w:rPr>
      </w:pPr>
    </w:p>
    <w:p w:rsidR="00EB5012" w:rsidRDefault="00EB5012" w:rsidP="00EB5012">
      <w:pPr>
        <w:pStyle w:val="ad"/>
        <w:spacing w:line="360" w:lineRule="auto"/>
        <w:ind w:left="360"/>
        <w:jc w:val="both"/>
        <w:rPr>
          <w:rFonts w:ascii="David" w:hAnsi="David" w:cs="David"/>
          <w:sz w:val="24"/>
          <w:szCs w:val="24"/>
          <w:rtl/>
        </w:rPr>
      </w:pPr>
      <w:r>
        <w:rPr>
          <w:rFonts w:ascii="David" w:hAnsi="David" w:cs="David"/>
          <w:rtl/>
        </w:rPr>
        <w:t>המשיבים</w:t>
      </w:r>
      <w:r>
        <w:rPr>
          <w:rFonts w:ascii="David" w:hAnsi="David" w:cs="David"/>
          <w:sz w:val="24"/>
          <w:szCs w:val="24"/>
          <w:rtl/>
        </w:rPr>
        <w:t xml:space="preserve"> טענו גם כי פעלו למנוע מהמפיקים לשלוח הודעות פרסומת שלא כדין כמיטב יכולתם, בין היתר בהכללת סעיפים בהסכם המטיל על המפיקים חובה לנהוג לפי כל דין במשלוח פרסומות לאירועים המתוכננים. כן טענו כי המדובר בתובע סדרתי וכי ב"כ אינו ראוי לשמש מייצג בהליך. </w:t>
      </w:r>
    </w:p>
    <w:p w:rsidR="00EB5012" w:rsidRDefault="00EB5012" w:rsidP="00EB5012">
      <w:pPr>
        <w:pStyle w:val="ad"/>
        <w:spacing w:line="360" w:lineRule="auto"/>
        <w:ind w:left="935" w:hanging="426"/>
        <w:jc w:val="both"/>
        <w:rPr>
          <w:rFonts w:ascii="David" w:hAnsi="David" w:cs="David"/>
          <w:sz w:val="24"/>
          <w:szCs w:val="24"/>
        </w:rPr>
      </w:pPr>
    </w:p>
    <w:p w:rsidR="00EB5012" w:rsidRDefault="00EB5012" w:rsidP="00EB501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לעניין הנזק, נטען כי למבקש לא נגרם נזק ממשי, שכן הוא קיבל הודעות דומות מאותם מפיקים ו/או ממי מטעמם באותה תקופה באמצעות אפליקציית "וואטסאפ" ובאופן ספציפי מאדם בשם יקיר ברזילי (להלן – </w:t>
      </w:r>
      <w:r>
        <w:rPr>
          <w:rFonts w:ascii="David" w:hAnsi="David" w:cs="David"/>
          <w:b/>
          <w:bCs/>
          <w:sz w:val="24"/>
          <w:szCs w:val="24"/>
          <w:rtl/>
        </w:rPr>
        <w:t>ברזילי)</w:t>
      </w:r>
      <w:r>
        <w:rPr>
          <w:rFonts w:ascii="David" w:hAnsi="David" w:cs="David"/>
          <w:sz w:val="24"/>
          <w:szCs w:val="24"/>
          <w:rtl/>
        </w:rPr>
        <w:t xml:space="preserve">. לגבי הודעות אלה לא טען לנזק (התכתובת עם ברזילי צורפה כנספח 2 לתשובה לבקשה). הטענה כי אותן הודעות דווקא באפליקציית </w:t>
      </w:r>
      <w:r>
        <w:rPr>
          <w:rFonts w:ascii="David" w:hAnsi="David" w:cs="David"/>
          <w:sz w:val="24"/>
          <w:szCs w:val="24"/>
        </w:rPr>
        <w:t>SMS</w:t>
      </w:r>
      <w:r>
        <w:rPr>
          <w:rFonts w:ascii="David" w:hAnsi="David" w:cs="David"/>
          <w:sz w:val="24"/>
          <w:szCs w:val="24"/>
          <w:rtl/>
        </w:rPr>
        <w:t xml:space="preserve"> גרמו לנזק היא מלאכותית ופיקטיבית והנזק נטען באופן סתמי וללא פירוט, על ידי תובע "סדרתי" ובחוסר תום לב. כן נטען כי ב"כ המבקש אינו כשיר לייצג את הקבוצה.</w:t>
      </w:r>
    </w:p>
    <w:p w:rsidR="00EB5012" w:rsidRDefault="00EB5012" w:rsidP="00EB5012">
      <w:pPr>
        <w:pStyle w:val="ad"/>
        <w:rPr>
          <w:rFonts w:ascii="David" w:hAnsi="David" w:cs="David"/>
          <w:sz w:val="24"/>
          <w:szCs w:val="24"/>
        </w:rPr>
      </w:pPr>
    </w:p>
    <w:p w:rsidR="00EB5012" w:rsidRDefault="00EB5012" w:rsidP="00EB5012">
      <w:pPr>
        <w:pStyle w:val="ad"/>
        <w:numPr>
          <w:ilvl w:val="0"/>
          <w:numId w:val="2"/>
        </w:numPr>
        <w:spacing w:line="360" w:lineRule="auto"/>
        <w:jc w:val="both"/>
        <w:rPr>
          <w:rFonts w:ascii="David" w:hAnsi="David" w:cs="David"/>
          <w:sz w:val="24"/>
          <w:szCs w:val="24"/>
          <w:rtl/>
        </w:rPr>
      </w:pPr>
      <w:r>
        <w:rPr>
          <w:rFonts w:ascii="David" w:hAnsi="David" w:cs="David"/>
          <w:sz w:val="24"/>
          <w:szCs w:val="24"/>
          <w:rtl/>
        </w:rPr>
        <w:t>לעניין הסכמת המבקש, נטען כי זה נתן למפיקים באמצעות מר ברזילי מטעמם הסכמה בכתב בעבר לשלוח לו הודעות פרסומת והוא קיבל מהם הודעות במשך שנים בקשר לאירועים שונים והסתיר עובדה זו מבית המשפט (נספח 2 לתשובה).</w:t>
      </w:r>
    </w:p>
    <w:p w:rsidR="00EB5012" w:rsidRDefault="00EB5012" w:rsidP="00EB5012">
      <w:pPr>
        <w:pStyle w:val="ad"/>
        <w:rPr>
          <w:rFonts w:ascii="David" w:hAnsi="David" w:cs="David"/>
          <w:sz w:val="24"/>
          <w:szCs w:val="24"/>
        </w:rPr>
      </w:pPr>
    </w:p>
    <w:p w:rsidR="00EB5012" w:rsidRDefault="00EB5012" w:rsidP="00EB5012">
      <w:pPr>
        <w:pStyle w:val="ad"/>
        <w:numPr>
          <w:ilvl w:val="0"/>
          <w:numId w:val="2"/>
        </w:numPr>
        <w:spacing w:line="360" w:lineRule="auto"/>
        <w:jc w:val="both"/>
        <w:rPr>
          <w:rFonts w:ascii="David" w:hAnsi="David" w:cs="David"/>
          <w:sz w:val="24"/>
          <w:szCs w:val="24"/>
          <w:rtl/>
        </w:rPr>
      </w:pPr>
      <w:r>
        <w:rPr>
          <w:rFonts w:ascii="David" w:hAnsi="David" w:cs="David"/>
          <w:sz w:val="24"/>
          <w:szCs w:val="24"/>
          <w:rtl/>
        </w:rPr>
        <w:t>כן נטען כי בכל מקרה אין כל עילת תביעה נגד המשיבים 2-14 שכן המשיבה 1 היא בעלת המועדון, והם רק מחזיקים במניותיה או משמשים דירקטורים, חלקם במישרין (משיבה 1) וחלקם בעקיפין (וחלקם כלל לא) וכן כי המשיבים בכללותם לא עברו על כל הוראת חיקוק.</w:t>
      </w:r>
    </w:p>
    <w:p w:rsidR="00EB5012" w:rsidRDefault="00EB5012" w:rsidP="00EB5012">
      <w:pPr>
        <w:pStyle w:val="ad"/>
        <w:rPr>
          <w:rFonts w:ascii="David" w:hAnsi="David" w:cs="David"/>
          <w:sz w:val="24"/>
          <w:szCs w:val="24"/>
        </w:rPr>
      </w:pPr>
    </w:p>
    <w:p w:rsidR="00BF725C" w:rsidRDefault="00EB5012" w:rsidP="00EB5012">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הוסיפו המשיבים וטענו כי לא קוימו התנאים לאישור התובענה כייצוגית כאמור בסעיף 8(א) לחוק תובענות ייצוגיות וכי אין אפשרות סבירה שהשאלות המשותפות תוכרענה לטובת ה"קבוצה". </w:t>
      </w:r>
    </w:p>
    <w:p w:rsidR="00E056C0" w:rsidRDefault="00EB5012" w:rsidP="00E056C0">
      <w:pPr>
        <w:pStyle w:val="ad"/>
        <w:spacing w:line="360" w:lineRule="auto"/>
        <w:ind w:left="360"/>
        <w:jc w:val="both"/>
        <w:rPr>
          <w:rFonts w:ascii="David" w:hAnsi="David" w:cs="David"/>
          <w:sz w:val="24"/>
          <w:szCs w:val="24"/>
          <w:rtl/>
        </w:rPr>
      </w:pPr>
      <w:r>
        <w:rPr>
          <w:rFonts w:ascii="David" w:hAnsi="David" w:cs="David"/>
          <w:sz w:val="24"/>
          <w:szCs w:val="24"/>
          <w:rtl/>
        </w:rPr>
        <w:lastRenderedPageBreak/>
        <w:t xml:space="preserve">זאת, גם משום </w:t>
      </w:r>
      <w:r>
        <w:rPr>
          <w:rFonts w:ascii="David" w:hAnsi="David" w:cs="David"/>
          <w:b/>
          <w:bCs/>
          <w:sz w:val="24"/>
          <w:szCs w:val="24"/>
          <w:rtl/>
        </w:rPr>
        <w:t>שלא הוכחה קיומה של קבוצה</w:t>
      </w:r>
      <w:r>
        <w:rPr>
          <w:rFonts w:ascii="David" w:hAnsi="David" w:cs="David"/>
          <w:sz w:val="24"/>
          <w:szCs w:val="24"/>
          <w:rtl/>
        </w:rPr>
        <w:t xml:space="preserve"> (תוך הפניה לת"צ (מחוזי י-ם) 3196/09 </w:t>
      </w:r>
      <w:r>
        <w:rPr>
          <w:rFonts w:ascii="David" w:hAnsi="David" w:cs="David"/>
          <w:b/>
          <w:bCs/>
          <w:sz w:val="24"/>
          <w:szCs w:val="24"/>
          <w:rtl/>
        </w:rPr>
        <w:t xml:space="preserve">כהן נ' </w:t>
      </w:r>
      <w:r w:rsidRPr="002576AC">
        <w:rPr>
          <w:rFonts w:ascii="David" w:hAnsi="David" w:cs="David"/>
          <w:b/>
          <w:bCs/>
          <w:sz w:val="24"/>
          <w:szCs w:val="24"/>
          <w:rtl/>
        </w:rPr>
        <w:t>בזק בינלאומי בע"מ</w:t>
      </w:r>
      <w:r>
        <w:rPr>
          <w:rFonts w:ascii="David" w:hAnsi="David" w:cs="David"/>
          <w:sz w:val="24"/>
          <w:szCs w:val="24"/>
          <w:rtl/>
        </w:rPr>
        <w:t xml:space="preserve"> (5.6.11) (להלן – עניין </w:t>
      </w:r>
      <w:r>
        <w:rPr>
          <w:rFonts w:ascii="David" w:hAnsi="David" w:cs="David"/>
          <w:b/>
          <w:bCs/>
          <w:sz w:val="24"/>
          <w:szCs w:val="24"/>
          <w:rtl/>
        </w:rPr>
        <w:t>כהן</w:t>
      </w:r>
      <w:r>
        <w:rPr>
          <w:rFonts w:ascii="David" w:hAnsi="David" w:cs="David"/>
          <w:sz w:val="24"/>
          <w:szCs w:val="24"/>
          <w:rtl/>
        </w:rPr>
        <w:t>) וכן ל</w:t>
      </w:r>
      <w:r w:rsidR="00E056C0" w:rsidRPr="00E056C0">
        <w:rPr>
          <w:rFonts w:ascii="David" w:hAnsi="David" w:cs="David"/>
          <w:sz w:val="24"/>
          <w:szCs w:val="24"/>
          <w:rtl/>
        </w:rPr>
        <w:t>ת</w:t>
      </w:r>
      <w:r w:rsidR="00E056C0">
        <w:rPr>
          <w:rFonts w:ascii="David" w:hAnsi="David" w:cs="David" w:hint="cs"/>
          <w:sz w:val="24"/>
          <w:szCs w:val="24"/>
          <w:rtl/>
        </w:rPr>
        <w:t>"</w:t>
      </w:r>
      <w:r w:rsidR="00E056C0" w:rsidRPr="00E056C0">
        <w:rPr>
          <w:rFonts w:ascii="David" w:hAnsi="David" w:cs="David"/>
          <w:sz w:val="24"/>
          <w:szCs w:val="24"/>
          <w:rtl/>
        </w:rPr>
        <w:t>צ (</w:t>
      </w:r>
      <w:r w:rsidR="00E056C0">
        <w:rPr>
          <w:rFonts w:ascii="David" w:hAnsi="David" w:cs="David" w:hint="cs"/>
          <w:sz w:val="24"/>
          <w:szCs w:val="24"/>
          <w:rtl/>
        </w:rPr>
        <w:t>מחוזי מר'</w:t>
      </w:r>
      <w:r w:rsidR="00E056C0" w:rsidRPr="00E056C0">
        <w:rPr>
          <w:rFonts w:ascii="David" w:hAnsi="David" w:cs="David"/>
          <w:sz w:val="24"/>
          <w:szCs w:val="24"/>
          <w:rtl/>
        </w:rPr>
        <w:t xml:space="preserve">) 20834-09-15‏  </w:t>
      </w:r>
      <w:r w:rsidR="00E056C0" w:rsidRPr="00E056C0">
        <w:rPr>
          <w:rFonts w:ascii="David" w:hAnsi="David" w:cs="David"/>
          <w:b/>
          <w:bCs/>
          <w:sz w:val="24"/>
          <w:szCs w:val="24"/>
          <w:rtl/>
        </w:rPr>
        <w:t>בליטשטיין נ' המשביר 365 החזקות בע"מ</w:t>
      </w:r>
      <w:r w:rsidR="00E056C0">
        <w:rPr>
          <w:rFonts w:ascii="David" w:hAnsi="David" w:cs="David" w:hint="cs"/>
          <w:sz w:val="24"/>
          <w:szCs w:val="24"/>
          <w:rtl/>
        </w:rPr>
        <w:t xml:space="preserve"> (11.4.18); להלן </w:t>
      </w:r>
      <w:r w:rsidR="00E056C0">
        <w:rPr>
          <w:rFonts w:ascii="David" w:hAnsi="David" w:cs="David"/>
          <w:sz w:val="24"/>
          <w:szCs w:val="24"/>
          <w:rtl/>
        </w:rPr>
        <w:t>–</w:t>
      </w:r>
      <w:r w:rsidR="00E056C0">
        <w:rPr>
          <w:rFonts w:ascii="David" w:hAnsi="David" w:cs="David" w:hint="cs"/>
          <w:sz w:val="24"/>
          <w:szCs w:val="24"/>
          <w:rtl/>
        </w:rPr>
        <w:t xml:space="preserve"> עניין </w:t>
      </w:r>
      <w:r w:rsidR="00E056C0" w:rsidRPr="00E056C0">
        <w:rPr>
          <w:rFonts w:ascii="David" w:hAnsi="David" w:cs="David" w:hint="cs"/>
          <w:b/>
          <w:bCs/>
          <w:sz w:val="24"/>
          <w:szCs w:val="24"/>
          <w:rtl/>
        </w:rPr>
        <w:t>המשביר</w:t>
      </w:r>
      <w:r w:rsidR="00E056C0">
        <w:rPr>
          <w:rFonts w:ascii="David" w:hAnsi="David" w:cs="David" w:hint="cs"/>
          <w:sz w:val="24"/>
          <w:szCs w:val="24"/>
          <w:rtl/>
        </w:rPr>
        <w:t xml:space="preserve">). </w:t>
      </w:r>
    </w:p>
    <w:p w:rsidR="00EB5012" w:rsidRDefault="00EB5012" w:rsidP="00EB5012">
      <w:pPr>
        <w:spacing w:line="360" w:lineRule="auto"/>
        <w:ind w:left="360"/>
        <w:jc w:val="both"/>
        <w:rPr>
          <w:rFonts w:ascii="David" w:hAnsi="David"/>
          <w:rtl/>
        </w:rPr>
      </w:pPr>
    </w:p>
    <w:p w:rsidR="00EB5012" w:rsidRDefault="00EB5012" w:rsidP="00EB5012">
      <w:pPr>
        <w:spacing w:after="160" w:line="360" w:lineRule="auto"/>
        <w:jc w:val="both"/>
        <w:rPr>
          <w:rFonts w:ascii="David" w:hAnsi="David"/>
          <w:b/>
          <w:bCs/>
          <w:sz w:val="28"/>
          <w:szCs w:val="28"/>
          <w:u w:val="single"/>
          <w:rtl/>
        </w:rPr>
      </w:pPr>
      <w:r>
        <w:rPr>
          <w:rFonts w:ascii="David" w:hAnsi="David"/>
          <w:b/>
          <w:bCs/>
          <w:sz w:val="28"/>
          <w:szCs w:val="28"/>
          <w:rtl/>
        </w:rPr>
        <w:t xml:space="preserve">א'3. </w:t>
      </w:r>
      <w:r>
        <w:rPr>
          <w:rFonts w:ascii="David" w:hAnsi="David"/>
          <w:b/>
          <w:bCs/>
          <w:sz w:val="28"/>
          <w:szCs w:val="28"/>
          <w:u w:val="single"/>
          <w:rtl/>
        </w:rPr>
        <w:t>תמצית הטענות בתגובה לתשובה</w:t>
      </w:r>
    </w:p>
    <w:p w:rsidR="00EB5012" w:rsidRDefault="00EB5012" w:rsidP="00EB5012">
      <w:pPr>
        <w:numPr>
          <w:ilvl w:val="0"/>
          <w:numId w:val="2"/>
        </w:numPr>
        <w:spacing w:line="360" w:lineRule="auto"/>
        <w:jc w:val="both"/>
        <w:rPr>
          <w:rFonts w:ascii="David" w:hAnsi="David"/>
          <w:rtl/>
        </w:rPr>
      </w:pPr>
      <w:r>
        <w:rPr>
          <w:rFonts w:ascii="David" w:hAnsi="David"/>
          <w:rtl/>
        </w:rPr>
        <w:t>בתגובתו, טען המשיב בין היתר כי נטל ההוכחה להסכמה לקבלת הודעות פרסומת, כמו גם  זהות משלח ההודעות בפועל, מוטל על המפרסמים אשר הינם המשיבים, שכן המועדון מופיע כזיהוי מקום האירוע בהודעות, והמשיבים בתשובתם לא הציגו כל ראיות להסכמה כלשהי מטעמו. לחילופין טען כי המשיבים אחראים לפעולות המפיקים כשלוחיהם.</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rPr>
      </w:pPr>
      <w:r>
        <w:rPr>
          <w:rFonts w:ascii="David" w:hAnsi="David"/>
          <w:rtl/>
        </w:rPr>
        <w:t>המבקש הוסיף כי התכתובות נספח ב' לתשובה הינן בדויות והמבקש לא הכיר את ברזילי טרם הגשת הבקשה ולא נתן לו הסכמה כלשהי.</w:t>
      </w:r>
    </w:p>
    <w:p w:rsidR="00EB5012" w:rsidRDefault="00EB5012" w:rsidP="00EB5012">
      <w:pPr>
        <w:pStyle w:val="ad"/>
        <w:spacing w:after="160" w:line="360" w:lineRule="auto"/>
        <w:ind w:left="935"/>
        <w:jc w:val="both"/>
        <w:rPr>
          <w:rFonts w:ascii="David" w:hAnsi="David" w:cs="David"/>
          <w:sz w:val="24"/>
          <w:szCs w:val="24"/>
        </w:rPr>
      </w:pPr>
    </w:p>
    <w:p w:rsidR="00EB5012" w:rsidRDefault="00EB5012" w:rsidP="00EB5012">
      <w:pPr>
        <w:spacing w:after="160" w:line="360" w:lineRule="auto"/>
        <w:jc w:val="both"/>
        <w:rPr>
          <w:rFonts w:ascii="David" w:hAnsi="David"/>
          <w:sz w:val="26"/>
          <w:szCs w:val="26"/>
          <w:rtl/>
        </w:rPr>
      </w:pPr>
      <w:r>
        <w:rPr>
          <w:rFonts w:ascii="David" w:hAnsi="David"/>
          <w:b/>
          <w:bCs/>
          <w:sz w:val="26"/>
          <w:szCs w:val="26"/>
          <w:rtl/>
        </w:rPr>
        <w:t xml:space="preserve">א'4. </w:t>
      </w:r>
      <w:r>
        <w:rPr>
          <w:rFonts w:ascii="David" w:hAnsi="David"/>
          <w:b/>
          <w:bCs/>
          <w:sz w:val="26"/>
          <w:szCs w:val="26"/>
          <w:u w:val="single"/>
          <w:rtl/>
        </w:rPr>
        <w:t>ראיות הצדדים</w:t>
      </w:r>
    </w:p>
    <w:p w:rsidR="00EB5012" w:rsidRDefault="00EB5012" w:rsidP="00EB5012">
      <w:pPr>
        <w:numPr>
          <w:ilvl w:val="0"/>
          <w:numId w:val="2"/>
        </w:numPr>
        <w:spacing w:line="360" w:lineRule="auto"/>
        <w:jc w:val="both"/>
        <w:rPr>
          <w:rFonts w:ascii="David" w:hAnsi="David"/>
          <w:rtl/>
        </w:rPr>
      </w:pPr>
      <w:r>
        <w:rPr>
          <w:rFonts w:ascii="David" w:hAnsi="David"/>
          <w:rtl/>
        </w:rPr>
        <w:t>מטעם המבקש הוגשו בבקשה תצהיר המבקש, העתקי המסרונים והתכתובות עם המשיבה 1. בתגובה לתשובה הגיש המבקש אף תצהיר בדבר היעדר היכרותו עם ברזילי טרם הגשת הבקשה וכן תמליל שיחה עימו, שנערכה לאחר הגשת הבקשה, בה האחרון התחזה, לטענת המבקש, לכתב טלוויזיה וביקש את התייחסותו לכתבה עליו בהקשר ל"אנשים המתפרנסים מתביעות ייצוגיות".</w:t>
      </w:r>
    </w:p>
    <w:p w:rsidR="00EB5012" w:rsidRDefault="00EB5012" w:rsidP="00EB5012">
      <w:pPr>
        <w:spacing w:line="360" w:lineRule="auto"/>
        <w:ind w:left="360"/>
        <w:jc w:val="both"/>
        <w:rPr>
          <w:rFonts w:ascii="David" w:hAnsi="David"/>
        </w:rPr>
      </w:pPr>
    </w:p>
    <w:p w:rsidR="00EB5012" w:rsidRDefault="00EB5012" w:rsidP="00EB5012">
      <w:pPr>
        <w:numPr>
          <w:ilvl w:val="0"/>
          <w:numId w:val="2"/>
        </w:numPr>
        <w:spacing w:line="360" w:lineRule="auto"/>
        <w:jc w:val="both"/>
        <w:rPr>
          <w:rFonts w:ascii="David" w:hAnsi="David"/>
          <w:rtl/>
        </w:rPr>
      </w:pPr>
      <w:r>
        <w:rPr>
          <w:rFonts w:ascii="David" w:hAnsi="David"/>
          <w:rtl/>
        </w:rPr>
        <w:t>מטעם המשיבים הוגש הסכם שיתוף הפעולה עם המפיקים לגבי הפעלת ליין המסיבות, התכתובת הנטענת על ידם בין המבקש ובין ברזילי הקודמת להגשת הבקשה וכן צילום של תהליך הזמנת כרטיס לאירועים המופקים על ידי המשיבים במקומות שונים, המציג את דרך יצירת רשימות התפוצה שלהם.</w:t>
      </w:r>
    </w:p>
    <w:p w:rsidR="00EB5012" w:rsidRDefault="00EB5012" w:rsidP="00EB5012">
      <w:pPr>
        <w:pStyle w:val="ad"/>
        <w:rPr>
          <w:rFonts w:ascii="David" w:hAnsi="David"/>
        </w:rPr>
      </w:pPr>
    </w:p>
    <w:p w:rsidR="00BF725C" w:rsidRDefault="00EB5012" w:rsidP="00451A37">
      <w:pPr>
        <w:numPr>
          <w:ilvl w:val="0"/>
          <w:numId w:val="2"/>
        </w:numPr>
        <w:spacing w:line="360" w:lineRule="auto"/>
        <w:jc w:val="both"/>
        <w:rPr>
          <w:rFonts w:ascii="David" w:hAnsi="David"/>
        </w:rPr>
      </w:pPr>
      <w:r>
        <w:rPr>
          <w:rFonts w:ascii="David" w:hAnsi="David"/>
          <w:rtl/>
        </w:rPr>
        <w:t xml:space="preserve">בדיון שהתקיים ביום 19.6.24 הודיעו המשיבים כי מר ברזילי לא אותר על ידם ולפיכך נמחק תצהירו. בתום החקירות </w:t>
      </w:r>
      <w:r w:rsidR="00451A37">
        <w:rPr>
          <w:rFonts w:ascii="David" w:hAnsi="David" w:hint="cs"/>
          <w:rtl/>
        </w:rPr>
        <w:t xml:space="preserve">שהתקיימו בדיון זה </w:t>
      </w:r>
      <w:r>
        <w:rPr>
          <w:rFonts w:ascii="David" w:hAnsi="David"/>
          <w:rtl/>
        </w:rPr>
        <w:t>סיכמו הצדדים את טענותיהם בעל פה</w:t>
      </w:r>
      <w:r w:rsidR="00451A37">
        <w:rPr>
          <w:rFonts w:ascii="David" w:hAnsi="David" w:hint="cs"/>
          <w:rtl/>
        </w:rPr>
        <w:t>,</w:t>
      </w:r>
      <w:r>
        <w:rPr>
          <w:rFonts w:ascii="David" w:hAnsi="David"/>
          <w:rtl/>
        </w:rPr>
        <w:t xml:space="preserve"> ואף הוסיפו לאחר מכן ברשות ולבקשת המשיבים</w:t>
      </w:r>
      <w:r w:rsidR="00451A37">
        <w:rPr>
          <w:rFonts w:ascii="David" w:hAnsi="David" w:hint="cs"/>
          <w:rtl/>
        </w:rPr>
        <w:t>,</w:t>
      </w:r>
      <w:r>
        <w:rPr>
          <w:rFonts w:ascii="David" w:hAnsi="David"/>
          <w:rtl/>
        </w:rPr>
        <w:t xml:space="preserve"> טיעון קצר לענין סיווג ההסכם. </w:t>
      </w:r>
    </w:p>
    <w:p w:rsidR="00BF725C" w:rsidRDefault="00BF725C" w:rsidP="00BF725C">
      <w:pPr>
        <w:pStyle w:val="ad"/>
        <w:rPr>
          <w:rFonts w:ascii="David" w:hAnsi="David"/>
          <w:rtl/>
        </w:rPr>
      </w:pPr>
    </w:p>
    <w:p w:rsidR="00EB5012" w:rsidRDefault="00EB5012" w:rsidP="00BF725C">
      <w:pPr>
        <w:spacing w:line="360" w:lineRule="auto"/>
        <w:ind w:left="360"/>
        <w:jc w:val="both"/>
        <w:rPr>
          <w:rFonts w:ascii="David" w:hAnsi="David"/>
          <w:rtl/>
        </w:rPr>
      </w:pPr>
      <w:r>
        <w:rPr>
          <w:rFonts w:ascii="David" w:hAnsi="David"/>
          <w:rtl/>
        </w:rPr>
        <w:lastRenderedPageBreak/>
        <w:t xml:space="preserve">בהקשר זה אציין כי המשיבים חרגו בטיעון המשלים מהטיעון שהותר להם (בעניין סיווג ההסכם בלבד), והדבר יובא בחשבון בהוצאות ההליך. </w:t>
      </w:r>
    </w:p>
    <w:p w:rsidR="00EB5012" w:rsidRDefault="00EB5012" w:rsidP="00EB5012">
      <w:pPr>
        <w:spacing w:line="360" w:lineRule="auto"/>
        <w:ind w:left="360"/>
        <w:jc w:val="both"/>
        <w:rPr>
          <w:rFonts w:ascii="David" w:hAnsi="David"/>
        </w:rPr>
      </w:pPr>
      <w:r>
        <w:rPr>
          <w:rFonts w:ascii="David" w:hAnsi="David"/>
          <w:rtl/>
        </w:rPr>
        <w:t xml:space="preserve"> </w:t>
      </w:r>
    </w:p>
    <w:p w:rsidR="00EB5012" w:rsidRDefault="00EB5012" w:rsidP="00470D77">
      <w:pPr>
        <w:spacing w:after="160" w:line="360" w:lineRule="auto"/>
        <w:jc w:val="both"/>
        <w:rPr>
          <w:rFonts w:ascii="David" w:hAnsi="David"/>
          <w:b/>
          <w:bCs/>
          <w:sz w:val="28"/>
          <w:szCs w:val="28"/>
          <w:u w:val="single"/>
          <w:rtl/>
        </w:rPr>
      </w:pPr>
      <w:r>
        <w:rPr>
          <w:rFonts w:ascii="David" w:hAnsi="David"/>
          <w:b/>
          <w:bCs/>
          <w:sz w:val="26"/>
          <w:szCs w:val="26"/>
          <w:rtl/>
        </w:rPr>
        <w:t xml:space="preserve">ב. </w:t>
      </w:r>
      <w:r>
        <w:rPr>
          <w:rFonts w:ascii="David" w:hAnsi="David"/>
          <w:b/>
          <w:bCs/>
          <w:sz w:val="26"/>
          <w:szCs w:val="26"/>
          <w:u w:val="single"/>
          <w:rtl/>
        </w:rPr>
        <w:t>בקשה</w:t>
      </w:r>
      <w:r>
        <w:rPr>
          <w:rFonts w:ascii="David" w:hAnsi="David"/>
          <w:b/>
          <w:bCs/>
          <w:sz w:val="28"/>
          <w:szCs w:val="28"/>
          <w:u w:val="single"/>
          <w:rtl/>
        </w:rPr>
        <w:t xml:space="preserve"> לאישור תובענה כייצוגית - המסגרת הנורמטיבית</w:t>
      </w:r>
      <w:r w:rsidR="00470D77">
        <w:rPr>
          <w:rFonts w:ascii="David" w:hAnsi="David" w:hint="cs"/>
          <w:b/>
          <w:bCs/>
          <w:sz w:val="28"/>
          <w:szCs w:val="28"/>
          <w:u w:val="single"/>
          <w:rtl/>
        </w:rPr>
        <w:t xml:space="preserve"> בתמצית</w:t>
      </w:r>
    </w:p>
    <w:p w:rsidR="00EB5012" w:rsidRDefault="00EB5012" w:rsidP="00EB5012">
      <w:pPr>
        <w:spacing w:line="360" w:lineRule="auto"/>
        <w:ind w:left="360"/>
        <w:jc w:val="both"/>
        <w:rPr>
          <w:rFonts w:ascii="David" w:hAnsi="David"/>
        </w:rPr>
      </w:pPr>
    </w:p>
    <w:p w:rsidR="00EB5012" w:rsidRDefault="006F25F5" w:rsidP="006F25F5">
      <w:pPr>
        <w:numPr>
          <w:ilvl w:val="0"/>
          <w:numId w:val="2"/>
        </w:numPr>
        <w:spacing w:line="360" w:lineRule="auto"/>
        <w:jc w:val="both"/>
        <w:rPr>
          <w:rFonts w:ascii="David" w:hAnsi="David"/>
          <w:rtl/>
        </w:rPr>
      </w:pPr>
      <w:r>
        <w:rPr>
          <w:rFonts w:hint="cs"/>
          <w:rtl/>
        </w:rPr>
        <w:t>סעיף 4(א)(1) לחוק תובענות ייצוגיות</w:t>
      </w:r>
      <w:r w:rsidR="00EB5012">
        <w:rPr>
          <w:rFonts w:ascii="David" w:hAnsi="David"/>
          <w:rtl/>
        </w:rPr>
        <w:t xml:space="preserve"> קובע כי רשאי להגיש בשם קבוצה תובענה ייצוגית: </w:t>
      </w:r>
    </w:p>
    <w:p w:rsidR="00EB5012" w:rsidRDefault="00EB5012" w:rsidP="00EB5012">
      <w:pPr>
        <w:spacing w:line="360" w:lineRule="auto"/>
        <w:ind w:left="360"/>
        <w:jc w:val="both"/>
        <w:rPr>
          <w:rFonts w:ascii="David" w:hAnsi="David"/>
          <w:b/>
          <w:bCs/>
        </w:rPr>
      </w:pPr>
    </w:p>
    <w:p w:rsidR="00EB5012" w:rsidRDefault="00EB5012" w:rsidP="001225E3">
      <w:pPr>
        <w:pStyle w:val="ad"/>
        <w:spacing w:line="360" w:lineRule="auto"/>
        <w:ind w:left="651" w:right="567"/>
        <w:jc w:val="both"/>
        <w:rPr>
          <w:rFonts w:ascii="David" w:hAnsi="David"/>
          <w:b/>
          <w:bCs/>
          <w:rtl/>
        </w:rPr>
      </w:pPr>
      <w:r w:rsidRPr="001225E3">
        <w:rPr>
          <w:rFonts w:ascii="David" w:hAnsi="David" w:cs="David"/>
          <w:sz w:val="24"/>
          <w:szCs w:val="24"/>
          <w:rtl/>
        </w:rPr>
        <w:t>"אדם שיש לו עילה בתביעה או בענין כאמור בסעיף 3(א), המעוררת שאלות מהותיות של עובדה או משפט המשותפות לכלל החברים הנמנים עם קבוצת בני אדם - בשם אותה קבוצה".</w:t>
      </w:r>
    </w:p>
    <w:p w:rsidR="00EB5012" w:rsidRDefault="00EB5012" w:rsidP="00EB5012">
      <w:pPr>
        <w:spacing w:line="360" w:lineRule="auto"/>
        <w:jc w:val="both"/>
        <w:rPr>
          <w:rFonts w:ascii="David" w:hAnsi="David"/>
          <w:rtl/>
        </w:rPr>
      </w:pPr>
    </w:p>
    <w:p w:rsidR="00EB5012" w:rsidRDefault="00EB5012" w:rsidP="006F25F5">
      <w:pPr>
        <w:numPr>
          <w:ilvl w:val="0"/>
          <w:numId w:val="2"/>
        </w:numPr>
        <w:spacing w:line="360" w:lineRule="auto"/>
        <w:jc w:val="both"/>
        <w:rPr>
          <w:rFonts w:ascii="David" w:hAnsi="David"/>
          <w:rtl/>
        </w:rPr>
      </w:pPr>
      <w:r>
        <w:rPr>
          <w:rFonts w:ascii="David" w:hAnsi="David"/>
          <w:rtl/>
        </w:rPr>
        <w:t>הדיון בתובענה ייצוגית מתנהל באופן דו - שלבי. תחילה, על בית המשפט להחליט בבקשה לאישור התובענה כייצוגית ורק לאחר שאושרה התובענה הייצוגית, מתנהל הדיון בתובענה גופה. תנאי הסף לאישורה של תובענה כייצוגית מנויים</w:t>
      </w:r>
      <w:r w:rsidR="006F25F5">
        <w:rPr>
          <w:rFonts w:ascii="David" w:hAnsi="David" w:hint="cs"/>
          <w:rtl/>
        </w:rPr>
        <w:t xml:space="preserve"> בסעיף 8(א)</w:t>
      </w:r>
      <w:r>
        <w:rPr>
          <w:rtl/>
        </w:rPr>
        <w:t xml:space="preserve"> לחוק תובענות ייצוגיות</w:t>
      </w:r>
      <w:r>
        <w:rPr>
          <w:rFonts w:ascii="David" w:hAnsi="David"/>
          <w:rtl/>
        </w:rPr>
        <w:t>, הקובע ארבעה תנאים מצטברים:</w:t>
      </w:r>
    </w:p>
    <w:p w:rsidR="00EB5012" w:rsidRDefault="00EB5012" w:rsidP="00EB5012">
      <w:pPr>
        <w:pStyle w:val="ad"/>
        <w:rPr>
          <w:rFonts w:ascii="David" w:hAnsi="David"/>
        </w:rPr>
      </w:pPr>
    </w:p>
    <w:p w:rsidR="00EB5012" w:rsidRPr="001225E3" w:rsidRDefault="00EB5012" w:rsidP="001225E3">
      <w:pPr>
        <w:pStyle w:val="ad"/>
        <w:spacing w:line="360" w:lineRule="auto"/>
        <w:ind w:left="651" w:right="567"/>
        <w:jc w:val="both"/>
        <w:rPr>
          <w:rFonts w:ascii="David" w:hAnsi="David" w:cs="David"/>
          <w:sz w:val="24"/>
          <w:szCs w:val="24"/>
          <w:rtl/>
        </w:rPr>
      </w:pPr>
      <w:r w:rsidRPr="001225E3">
        <w:rPr>
          <w:rFonts w:ascii="David" w:hAnsi="David" w:cs="David"/>
          <w:sz w:val="24"/>
          <w:szCs w:val="24"/>
          <w:rtl/>
        </w:rPr>
        <w:t>"(1)     התובענה מעוררת שאלות מהותיות של עובדה או משפט המשותפות לכלל חברי הקבוצה, ויש אפשרות סבירה שהן יוכרעו בתובענה לטובת הקבוצה;</w:t>
      </w:r>
    </w:p>
    <w:p w:rsidR="00EB5012" w:rsidRPr="001225E3" w:rsidRDefault="00EB5012" w:rsidP="001225E3">
      <w:pPr>
        <w:pStyle w:val="ad"/>
        <w:spacing w:line="360" w:lineRule="auto"/>
        <w:ind w:left="651" w:right="567"/>
        <w:jc w:val="both"/>
        <w:rPr>
          <w:rFonts w:ascii="David" w:hAnsi="David" w:cs="David"/>
          <w:sz w:val="24"/>
          <w:szCs w:val="24"/>
        </w:rPr>
      </w:pPr>
      <w:r w:rsidRPr="001225E3">
        <w:rPr>
          <w:rFonts w:ascii="David" w:hAnsi="David" w:cs="David"/>
          <w:sz w:val="24"/>
          <w:szCs w:val="24"/>
          <w:rtl/>
        </w:rPr>
        <w:t>(2)     תובענה ייצוגית היא הדרך היעילה וההוגנת להכרעה במחלוקת בנסיבות העניין;</w:t>
      </w:r>
    </w:p>
    <w:p w:rsidR="00EB5012" w:rsidRPr="001225E3" w:rsidRDefault="00EB5012" w:rsidP="001225E3">
      <w:pPr>
        <w:pStyle w:val="ad"/>
        <w:spacing w:line="360" w:lineRule="auto"/>
        <w:ind w:left="651" w:right="567"/>
        <w:jc w:val="both"/>
        <w:rPr>
          <w:rFonts w:ascii="David" w:hAnsi="David" w:cs="David"/>
          <w:sz w:val="24"/>
          <w:szCs w:val="24"/>
        </w:rPr>
      </w:pPr>
      <w:r w:rsidRPr="001225E3">
        <w:rPr>
          <w:rFonts w:ascii="David" w:hAnsi="David" w:cs="David"/>
          <w:sz w:val="24"/>
          <w:szCs w:val="24"/>
          <w:rtl/>
        </w:rPr>
        <w:t>(3)     קיים יסוד סביר להניח כי עניינם של כלל חברי הקבוצה ייוצג וינוהל בדרך הולמת; הנתבע לא רשאי לערער או לבקש לערער על החלטה בעניין זה ;</w:t>
      </w:r>
    </w:p>
    <w:p w:rsidR="00EB5012" w:rsidRDefault="00EB5012" w:rsidP="001225E3">
      <w:pPr>
        <w:pStyle w:val="ad"/>
        <w:spacing w:line="360" w:lineRule="auto"/>
        <w:ind w:left="651" w:right="567"/>
        <w:jc w:val="both"/>
        <w:rPr>
          <w:rFonts w:ascii="David" w:hAnsi="David"/>
          <w:b/>
          <w:bCs/>
        </w:rPr>
      </w:pPr>
      <w:r w:rsidRPr="001225E3">
        <w:rPr>
          <w:rFonts w:ascii="David" w:hAnsi="David" w:cs="David"/>
          <w:sz w:val="24"/>
          <w:szCs w:val="24"/>
          <w:rtl/>
        </w:rPr>
        <w:t xml:space="preserve">(4)     קיים יסוד סביר להניח כי עניינם של כלל חברי הקבוצה ייוצג וינוהל בתום לב." </w:t>
      </w:r>
    </w:p>
    <w:p w:rsidR="00EB5012" w:rsidRDefault="00EB5012" w:rsidP="00EB5012">
      <w:pPr>
        <w:spacing w:line="360" w:lineRule="auto"/>
        <w:ind w:left="360" w:right="426"/>
        <w:jc w:val="both"/>
        <w:rPr>
          <w:rFonts w:ascii="David" w:hAnsi="David"/>
          <w:b/>
          <w:bCs/>
          <w:rtl/>
        </w:rPr>
      </w:pPr>
    </w:p>
    <w:p w:rsidR="00EB5012" w:rsidRDefault="00EB5012" w:rsidP="00470D77">
      <w:pPr>
        <w:spacing w:line="360" w:lineRule="auto"/>
        <w:ind w:left="360" w:right="426"/>
        <w:jc w:val="both"/>
        <w:rPr>
          <w:rFonts w:ascii="David" w:hAnsi="David"/>
          <w:rtl/>
        </w:rPr>
      </w:pPr>
      <w:r>
        <w:rPr>
          <w:rFonts w:ascii="David" w:hAnsi="David"/>
          <w:rtl/>
        </w:rPr>
        <w:t>אבחן תחילה את סיפא התנאי הראשון, שכן הוא התנאי ה</w:t>
      </w:r>
      <w:r w:rsidR="00470D77">
        <w:rPr>
          <w:rFonts w:ascii="David" w:hAnsi="David" w:hint="cs"/>
          <w:rtl/>
        </w:rPr>
        <w:t>מרכזי שבמחלוקת</w:t>
      </w:r>
      <w:r>
        <w:rPr>
          <w:rFonts w:ascii="David" w:hAnsi="David"/>
          <w:rtl/>
        </w:rPr>
        <w:t>.</w:t>
      </w:r>
    </w:p>
    <w:p w:rsidR="00EB5012" w:rsidRDefault="00EB5012" w:rsidP="00EB5012">
      <w:pPr>
        <w:spacing w:line="360" w:lineRule="auto"/>
        <w:ind w:left="360"/>
        <w:jc w:val="both"/>
        <w:rPr>
          <w:rFonts w:ascii="David" w:hAnsi="David"/>
          <w:rtl/>
        </w:rPr>
      </w:pPr>
    </w:p>
    <w:p w:rsidR="001225E3" w:rsidRDefault="00EB5012" w:rsidP="00EB5012">
      <w:pPr>
        <w:numPr>
          <w:ilvl w:val="0"/>
          <w:numId w:val="2"/>
        </w:numPr>
        <w:spacing w:line="360" w:lineRule="auto"/>
        <w:jc w:val="both"/>
        <w:rPr>
          <w:rFonts w:ascii="David" w:hAnsi="David"/>
        </w:rPr>
      </w:pPr>
      <w:r>
        <w:rPr>
          <w:rFonts w:ascii="David" w:hAnsi="David"/>
          <w:rtl/>
        </w:rPr>
        <w:t xml:space="preserve">התנאי לקיום אפשרות סבירה כי התובענה תוכרע לטובת חברי הקבוצה  נועד למנוע תביעות סרק סחטניות, כאשר לפיו על המבקש מוטל הנטל לשכנע את בית המשפט כי קיימת לחברי הקבוצה עילת תביעה לכאורה. </w:t>
      </w:r>
    </w:p>
    <w:p w:rsidR="001225E3" w:rsidRDefault="001225E3" w:rsidP="001225E3">
      <w:pPr>
        <w:spacing w:line="360" w:lineRule="auto"/>
        <w:ind w:left="360"/>
        <w:jc w:val="both"/>
        <w:rPr>
          <w:rFonts w:ascii="David" w:hAnsi="David"/>
          <w:rtl/>
        </w:rPr>
      </w:pPr>
    </w:p>
    <w:p w:rsidR="00EB5012" w:rsidRDefault="00EB5012" w:rsidP="008606A0">
      <w:pPr>
        <w:spacing w:line="360" w:lineRule="auto"/>
        <w:ind w:left="360"/>
        <w:jc w:val="both"/>
        <w:rPr>
          <w:rFonts w:ascii="David" w:hAnsi="David"/>
          <w:rtl/>
        </w:rPr>
      </w:pPr>
      <w:r>
        <w:rPr>
          <w:rFonts w:ascii="David" w:hAnsi="David"/>
          <w:rtl/>
        </w:rPr>
        <w:lastRenderedPageBreak/>
        <w:t>הואיל ושלב הדיון בבקשת האישור הוא שלב ביניים לדיון בתובענה גופה, מעין "</w:t>
      </w:r>
      <w:r w:rsidRPr="001225E3">
        <w:rPr>
          <w:rFonts w:ascii="David" w:hAnsi="David"/>
          <w:rtl/>
        </w:rPr>
        <w:t>פרוזדור באמצעותו ניתן להיכנס לטרקלין, הוא הדיון במשפט גופו</w:t>
      </w:r>
      <w:r>
        <w:rPr>
          <w:rFonts w:ascii="David" w:hAnsi="David"/>
          <w:rtl/>
        </w:rPr>
        <w:t>" (</w:t>
      </w:r>
      <w:r>
        <w:rPr>
          <w:rFonts w:ascii="David" w:hAnsi="David"/>
          <w:color w:val="000000"/>
          <w:rtl/>
        </w:rPr>
        <w:t xml:space="preserve">רע"א 4556/94 </w:t>
      </w:r>
      <w:r>
        <w:rPr>
          <w:rFonts w:ascii="David" w:hAnsi="David"/>
          <w:b/>
          <w:bCs/>
          <w:color w:val="000000"/>
          <w:rtl/>
        </w:rPr>
        <w:t>טצת נ' זילברשץ</w:t>
      </w:r>
      <w:r>
        <w:rPr>
          <w:rFonts w:ascii="David" w:hAnsi="David"/>
          <w:color w:val="000000"/>
          <w:rtl/>
        </w:rPr>
        <w:t xml:space="preserve">, פ"ד מט(5) 774 </w:t>
      </w:r>
      <w:r>
        <w:rPr>
          <w:rFonts w:ascii="David" w:hAnsi="David"/>
          <w:color w:val="000000"/>
        </w:rPr>
        <w:t>(1996)</w:t>
      </w:r>
      <w:r>
        <w:rPr>
          <w:rFonts w:ascii="David" w:hAnsi="David"/>
          <w:color w:val="000000"/>
          <w:rtl/>
        </w:rPr>
        <w:t>, פסקה 11)</w:t>
      </w:r>
      <w:r>
        <w:rPr>
          <w:rFonts w:ascii="David" w:hAnsi="David"/>
          <w:rtl/>
        </w:rPr>
        <w:t>, הרי שעל בית המשפט לבחון באופן מקדמי את סיכויי התובענה, אך לא לברר את עיקרה:</w:t>
      </w:r>
    </w:p>
    <w:p w:rsidR="001225E3" w:rsidRDefault="001225E3" w:rsidP="001225E3">
      <w:pPr>
        <w:spacing w:line="360" w:lineRule="auto"/>
        <w:ind w:left="360"/>
        <w:jc w:val="both"/>
        <w:rPr>
          <w:rFonts w:ascii="David" w:hAnsi="David"/>
          <w:rtl/>
        </w:rPr>
      </w:pPr>
    </w:p>
    <w:p w:rsidR="00EB5012" w:rsidRDefault="00EB5012" w:rsidP="006F25F5">
      <w:pPr>
        <w:pStyle w:val="ad"/>
        <w:spacing w:line="360" w:lineRule="auto"/>
        <w:ind w:left="651" w:right="567"/>
        <w:jc w:val="both"/>
        <w:rPr>
          <w:rFonts w:ascii="David" w:hAnsi="David"/>
          <w:rtl/>
        </w:rPr>
      </w:pPr>
      <w:r>
        <w:rPr>
          <w:rFonts w:ascii="David" w:hAnsi="David" w:cs="David"/>
          <w:b/>
          <w:bCs/>
          <w:sz w:val="24"/>
          <w:szCs w:val="24"/>
          <w:rtl/>
        </w:rPr>
        <w:t>"</w:t>
      </w:r>
      <w:r>
        <w:rPr>
          <w:rFonts w:ascii="David" w:hAnsi="David" w:cs="David"/>
          <w:sz w:val="24"/>
          <w:szCs w:val="24"/>
          <w:rtl/>
        </w:rPr>
        <w:t xml:space="preserve">אשר על כן, ברי כי תכלית החוק היא להורות לבית המשפט לבצע בחינה מקדמית של סיכויי התובענה לשם הגנה מידתית על זכויות הנתבעים. לעניין זה, די לו לבית המשפט לעקוב בדקדקנות אחר לשון המחוקק ולראות האם קיימת "אפשרות סבירה" להכרעה לטובת קבוצת התובעים; הא, ותו לא" </w:t>
      </w:r>
      <w:r w:rsidR="006F25F5">
        <w:rPr>
          <w:rFonts w:ascii="David" w:hAnsi="David" w:cs="David" w:hint="cs"/>
          <w:sz w:val="24"/>
          <w:szCs w:val="24"/>
          <w:rtl/>
        </w:rPr>
        <w:t xml:space="preserve">(רע"א 2128/09 </w:t>
      </w:r>
      <w:r>
        <w:rPr>
          <w:rFonts w:ascii="David" w:hAnsi="David" w:cs="David" w:hint="cs"/>
          <w:b/>
          <w:bCs/>
          <w:sz w:val="24"/>
          <w:szCs w:val="24"/>
          <w:rtl/>
        </w:rPr>
        <w:t xml:space="preserve">הפניקס חברה לביטוח בע"מ </w:t>
      </w:r>
      <w:r w:rsidRPr="006F25F5">
        <w:rPr>
          <w:rFonts w:ascii="David" w:hAnsi="David" w:cs="David" w:hint="cs"/>
          <w:b/>
          <w:bCs/>
          <w:sz w:val="24"/>
          <w:szCs w:val="24"/>
          <w:rtl/>
        </w:rPr>
        <w:t>נ' עמוסי</w:t>
      </w:r>
      <w:r>
        <w:rPr>
          <w:rFonts w:ascii="David" w:hAnsi="David" w:cs="David" w:hint="cs"/>
          <w:sz w:val="24"/>
          <w:szCs w:val="24"/>
          <w:rtl/>
        </w:rPr>
        <w:t xml:space="preserve"> (5.7.12)). </w:t>
      </w:r>
    </w:p>
    <w:p w:rsidR="00EB5012" w:rsidRDefault="00EB5012" w:rsidP="00EB5012">
      <w:pPr>
        <w:spacing w:line="360" w:lineRule="auto"/>
        <w:ind w:left="360"/>
        <w:jc w:val="both"/>
        <w:rPr>
          <w:rFonts w:ascii="David" w:hAnsi="David"/>
          <w:b/>
          <w:bCs/>
          <w:rtl/>
        </w:rPr>
      </w:pPr>
      <w:r>
        <w:rPr>
          <w:rFonts w:ascii="David" w:hAnsi="David"/>
          <w:rtl/>
        </w:rPr>
        <w:t xml:space="preserve">עם זאת, הובהר כי: </w:t>
      </w:r>
    </w:p>
    <w:p w:rsidR="00EB5012" w:rsidRDefault="00EB5012" w:rsidP="00EB5012">
      <w:pPr>
        <w:spacing w:line="360" w:lineRule="auto"/>
        <w:ind w:left="360"/>
        <w:jc w:val="both"/>
        <w:rPr>
          <w:rFonts w:ascii="David" w:hAnsi="David"/>
          <w:b/>
          <w:bCs/>
          <w:rtl/>
        </w:rPr>
      </w:pPr>
    </w:p>
    <w:p w:rsidR="00EB5012" w:rsidRDefault="00EB5012" w:rsidP="006F25F5">
      <w:pPr>
        <w:pStyle w:val="ad"/>
        <w:spacing w:line="360" w:lineRule="auto"/>
        <w:ind w:left="651" w:right="567"/>
        <w:jc w:val="both"/>
        <w:rPr>
          <w:rFonts w:ascii="David" w:hAnsi="David"/>
          <w:rtl/>
        </w:rPr>
      </w:pPr>
      <w:r>
        <w:rPr>
          <w:rFonts w:ascii="David" w:hAnsi="David" w:cs="David"/>
          <w:b/>
          <w:bCs/>
          <w:sz w:val="24"/>
          <w:szCs w:val="24"/>
          <w:rtl/>
        </w:rPr>
        <w:t>"</w:t>
      </w:r>
      <w:r>
        <w:rPr>
          <w:rFonts w:ascii="David" w:hAnsi="David" w:cs="David"/>
          <w:sz w:val="24"/>
          <w:szCs w:val="24"/>
          <w:rtl/>
        </w:rPr>
        <w:t xml:space="preserve">ראוי לעבור פרוזדור זה </w:t>
      </w:r>
      <w:r>
        <w:rPr>
          <w:rFonts w:ascii="David" w:hAnsi="David" w:cs="David"/>
          <w:b/>
          <w:bCs/>
          <w:sz w:val="24"/>
          <w:szCs w:val="24"/>
          <w:rtl/>
        </w:rPr>
        <w:t>בזהירות מרובה</w:t>
      </w:r>
      <w:r>
        <w:rPr>
          <w:rFonts w:ascii="David" w:hAnsi="David" w:cs="David"/>
          <w:sz w:val="24"/>
          <w:szCs w:val="24"/>
          <w:rtl/>
        </w:rPr>
        <w:t xml:space="preserve"> וליתן את הרשות רק במקרים המתאימים העונים על כל התנאים הדרושים..." </w:t>
      </w:r>
      <w:r w:rsidR="006F25F5">
        <w:rPr>
          <w:rFonts w:ascii="David" w:hAnsi="David" w:cs="David" w:hint="cs"/>
          <w:sz w:val="24"/>
          <w:szCs w:val="24"/>
          <w:rtl/>
        </w:rPr>
        <w:t xml:space="preserve">(רע"א 6567/97 </w:t>
      </w:r>
      <w:r>
        <w:rPr>
          <w:rFonts w:ascii="David" w:hAnsi="David" w:cs="David" w:hint="cs"/>
          <w:b/>
          <w:bCs/>
          <w:sz w:val="24"/>
          <w:szCs w:val="24"/>
          <w:rtl/>
        </w:rPr>
        <w:t>בזק - החברה הישראלית לתקשורת בע"מ נ' עיזבון גת,</w:t>
      </w:r>
      <w:r>
        <w:rPr>
          <w:rFonts w:ascii="David" w:hAnsi="David" w:cs="David" w:hint="cs"/>
          <w:sz w:val="24"/>
          <w:szCs w:val="24"/>
          <w:rtl/>
        </w:rPr>
        <w:t xml:space="preserve"> פ"ד נב(2) 713, 720 (1998); ההדגשה אינה במקור; להלן – עניין </w:t>
      </w:r>
      <w:r>
        <w:rPr>
          <w:rFonts w:ascii="David" w:hAnsi="David" w:cs="David" w:hint="cs"/>
          <w:b/>
          <w:bCs/>
          <w:sz w:val="24"/>
          <w:szCs w:val="24"/>
          <w:rtl/>
        </w:rPr>
        <w:t>גת</w:t>
      </w:r>
      <w:r>
        <w:rPr>
          <w:rFonts w:ascii="David" w:hAnsi="David" w:cs="David" w:hint="cs"/>
          <w:sz w:val="24"/>
          <w:szCs w:val="24"/>
          <w:rtl/>
        </w:rPr>
        <w:t xml:space="preserve">). </w:t>
      </w:r>
    </w:p>
    <w:p w:rsidR="00EB5012" w:rsidRDefault="00EB5012" w:rsidP="00EB5012">
      <w:pPr>
        <w:spacing w:line="360" w:lineRule="auto"/>
        <w:ind w:left="360"/>
        <w:jc w:val="both"/>
        <w:rPr>
          <w:rFonts w:ascii="David" w:hAnsi="David"/>
          <w:rtl/>
        </w:rPr>
      </w:pPr>
      <w:r>
        <w:rPr>
          <w:rFonts w:ascii="David" w:hAnsi="David"/>
          <w:rtl/>
        </w:rPr>
        <w:t xml:space="preserve">ועוד נפסק: </w:t>
      </w:r>
    </w:p>
    <w:p w:rsidR="00EB5012" w:rsidRDefault="00EB5012" w:rsidP="00EB5012">
      <w:pPr>
        <w:spacing w:line="360" w:lineRule="auto"/>
        <w:ind w:left="360"/>
        <w:jc w:val="both"/>
        <w:rPr>
          <w:rFonts w:ascii="David" w:hAnsi="David"/>
          <w:rtl/>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"כפי שהכול יודעים – ועמדנו על</w:t>
      </w:r>
      <w:r>
        <w:rPr>
          <w:rFonts w:ascii="David" w:hAnsi="David" w:cs="David"/>
          <w:sz w:val="24"/>
          <w:szCs w:val="24"/>
        </w:rPr>
        <w:t>-</w:t>
      </w:r>
      <w:r>
        <w:rPr>
          <w:rFonts w:ascii="David" w:hAnsi="David" w:cs="David"/>
          <w:sz w:val="24"/>
          <w:szCs w:val="24"/>
          <w:rtl/>
        </w:rPr>
        <w:t>כך – כלי התובענה הייצוגית כלי רב</w:t>
      </w:r>
      <w:r>
        <w:rPr>
          <w:rFonts w:ascii="David" w:hAnsi="David" w:cs="David"/>
          <w:sz w:val="24"/>
          <w:szCs w:val="24"/>
        </w:rPr>
        <w:t>-</w:t>
      </w:r>
      <w:r>
        <w:rPr>
          <w:rFonts w:ascii="David" w:hAnsi="David" w:cs="David"/>
          <w:sz w:val="24"/>
          <w:szCs w:val="24"/>
          <w:rtl/>
        </w:rPr>
        <w:t>ערך ורב</w:t>
      </w:r>
      <w:r>
        <w:rPr>
          <w:rFonts w:ascii="David" w:hAnsi="David" w:cs="David"/>
          <w:sz w:val="24"/>
          <w:szCs w:val="24"/>
        </w:rPr>
        <w:t>-</w:t>
      </w:r>
      <w:r>
        <w:rPr>
          <w:rFonts w:ascii="David" w:hAnsi="David" w:cs="David"/>
          <w:sz w:val="24"/>
          <w:szCs w:val="24"/>
          <w:rtl/>
        </w:rPr>
        <w:t xml:space="preserve">חשיבות הוא. </w:t>
      </w:r>
      <w:r>
        <w:rPr>
          <w:rFonts w:ascii="David" w:hAnsi="David" w:cs="David"/>
          <w:b/>
          <w:bCs/>
          <w:sz w:val="24"/>
          <w:szCs w:val="24"/>
          <w:rtl/>
        </w:rPr>
        <w:t>ואולם בראש ובראשונה – ובכך עיקר – כלי רב</w:t>
      </w:r>
      <w:r>
        <w:rPr>
          <w:rFonts w:ascii="David" w:hAnsi="David" w:cs="David"/>
          <w:b/>
          <w:bCs/>
          <w:sz w:val="24"/>
          <w:szCs w:val="24"/>
        </w:rPr>
        <w:t>-</w:t>
      </w:r>
      <w:r>
        <w:rPr>
          <w:rFonts w:ascii="David" w:hAnsi="David" w:cs="David"/>
          <w:b/>
          <w:bCs/>
          <w:sz w:val="24"/>
          <w:szCs w:val="24"/>
          <w:rtl/>
        </w:rPr>
        <w:t>עוצמה הוא. ואמנם, כוחה הסינֶרְגֶטִי של התובענה הופך אותה לנשק בלתי קונבנציונלי, ואין פלא בדבר שמהלכת היא אֵימים על עוסקים למיניהם. בשל כך – בעיקר בשל כך – שומה עלינו לטפל בתובענה הייצוגית בזהירות יתרה משל הייתה רימון</w:t>
      </w:r>
      <w:r>
        <w:rPr>
          <w:rFonts w:ascii="David" w:hAnsi="David" w:cs="David"/>
          <w:b/>
          <w:bCs/>
          <w:sz w:val="24"/>
          <w:szCs w:val="24"/>
        </w:rPr>
        <w:t>-</w:t>
      </w:r>
      <w:r>
        <w:rPr>
          <w:rFonts w:ascii="David" w:hAnsi="David" w:cs="David"/>
          <w:b/>
          <w:bCs/>
          <w:sz w:val="24"/>
          <w:szCs w:val="24"/>
          <w:rtl/>
        </w:rPr>
        <w:t>יד שנצרתו נשלפה מגופו</w:t>
      </w:r>
      <w:r>
        <w:rPr>
          <w:rFonts w:ascii="David" w:hAnsi="David" w:cs="David"/>
          <w:sz w:val="24"/>
          <w:szCs w:val="24"/>
          <w:rtl/>
        </w:rPr>
        <w:t>. שמחנו על לידתה של התובענה הייצוגית, שהרי ב"מאזן</w:t>
      </w:r>
      <w:r>
        <w:rPr>
          <w:rFonts w:ascii="David" w:hAnsi="David" w:cs="David"/>
          <w:sz w:val="24"/>
          <w:szCs w:val="24"/>
        </w:rPr>
        <w:t>-</w:t>
      </w:r>
      <w:r>
        <w:rPr>
          <w:rFonts w:ascii="David" w:hAnsi="David" w:cs="David"/>
          <w:sz w:val="24"/>
          <w:szCs w:val="24"/>
          <w:rtl/>
        </w:rPr>
        <w:t xml:space="preserve">האימה" שבין עוסקים לצרכנים – בייחוד בחברה כשלנו, שבה "יהיה בסדר" ו"סמוך" – ראויים הם צרכנים שיינתן בידיהם כוח שאחרת אין להם כלפי עוסקים. ואולם בצד שמחה זו שומה עלינו להשגיח שלא נערב שמחה בשמחה. פירוש: שלא נניח לתובענה הייצוגית כי תשפיע עלינו למעלה מן המידה הראויה לעת שנדרשים אנו לפירושה ולקביעת תחום פרישתה של התביעה האישית" (דנ"א 5712/01 </w:t>
      </w:r>
      <w:r>
        <w:rPr>
          <w:rFonts w:ascii="David" w:hAnsi="David" w:cs="David"/>
          <w:b/>
          <w:bCs/>
          <w:sz w:val="24"/>
          <w:szCs w:val="24"/>
          <w:rtl/>
        </w:rPr>
        <w:t>ברזני נ' בזק, חברה ישראלית לתקשורת בע"מ</w:t>
      </w:r>
      <w:r>
        <w:rPr>
          <w:rFonts w:ascii="David" w:hAnsi="David" w:cs="David"/>
          <w:sz w:val="24"/>
          <w:szCs w:val="24"/>
          <w:rtl/>
        </w:rPr>
        <w:t xml:space="preserve">, פ''ד נז(6) 385, 407 (2003); להלן – ענין </w:t>
      </w:r>
      <w:r>
        <w:rPr>
          <w:rFonts w:ascii="David" w:hAnsi="David" w:cs="David"/>
          <w:b/>
          <w:bCs/>
          <w:sz w:val="24"/>
          <w:szCs w:val="24"/>
          <w:rtl/>
        </w:rPr>
        <w:t>ברזני</w:t>
      </w:r>
      <w:r>
        <w:rPr>
          <w:rFonts w:ascii="David" w:hAnsi="David" w:cs="David"/>
          <w:sz w:val="24"/>
          <w:szCs w:val="24"/>
          <w:rtl/>
        </w:rPr>
        <w:t xml:space="preserve">; ההדגשה אינה במקור). </w:t>
      </w:r>
    </w:p>
    <w:p w:rsidR="00EB5012" w:rsidRDefault="00EB5012" w:rsidP="00EB5012">
      <w:pPr>
        <w:spacing w:after="160" w:line="360" w:lineRule="auto"/>
        <w:jc w:val="both"/>
        <w:rPr>
          <w:rFonts w:ascii="David" w:hAnsi="David"/>
          <w:b/>
          <w:bCs/>
          <w:sz w:val="28"/>
          <w:szCs w:val="28"/>
          <w:u w:val="single"/>
          <w:rtl/>
        </w:rPr>
      </w:pPr>
      <w:r>
        <w:rPr>
          <w:rFonts w:ascii="David" w:hAnsi="David"/>
          <w:b/>
          <w:bCs/>
          <w:sz w:val="26"/>
          <w:szCs w:val="26"/>
          <w:rtl/>
        </w:rPr>
        <w:lastRenderedPageBreak/>
        <w:t xml:space="preserve">ג. </w:t>
      </w:r>
      <w:r>
        <w:rPr>
          <w:rFonts w:ascii="David" w:hAnsi="David"/>
          <w:b/>
          <w:bCs/>
          <w:sz w:val="26"/>
          <w:szCs w:val="26"/>
          <w:u w:val="single"/>
          <w:rtl/>
        </w:rPr>
        <w:t>מספר</w:t>
      </w:r>
      <w:r>
        <w:rPr>
          <w:rFonts w:ascii="David" w:hAnsi="David"/>
          <w:b/>
          <w:bCs/>
          <w:sz w:val="28"/>
          <w:szCs w:val="28"/>
          <w:u w:val="single"/>
          <w:rtl/>
        </w:rPr>
        <w:t xml:space="preserve"> מילים על אודות תופעת ה"ספאם"</w:t>
      </w:r>
    </w:p>
    <w:p w:rsidR="00EB5012" w:rsidRDefault="00EB5012" w:rsidP="00EB5012">
      <w:pPr>
        <w:spacing w:line="360" w:lineRule="auto"/>
        <w:jc w:val="both"/>
        <w:rPr>
          <w:rFonts w:ascii="David" w:hAnsi="David"/>
          <w:b/>
          <w:bCs/>
          <w:sz w:val="32"/>
          <w:szCs w:val="32"/>
          <w:u w:val="single"/>
          <w:rtl/>
        </w:rPr>
      </w:pPr>
    </w:p>
    <w:p w:rsidR="00EB5012" w:rsidRDefault="00EB5012" w:rsidP="00EB5012">
      <w:pPr>
        <w:numPr>
          <w:ilvl w:val="0"/>
          <w:numId w:val="2"/>
        </w:numPr>
        <w:spacing w:line="360" w:lineRule="auto"/>
        <w:jc w:val="both"/>
        <w:rPr>
          <w:rFonts w:ascii="David" w:hAnsi="David"/>
        </w:rPr>
      </w:pPr>
      <w:r>
        <w:rPr>
          <w:rFonts w:ascii="David" w:hAnsi="David"/>
          <w:color w:val="000000"/>
          <w:rtl/>
        </w:rPr>
        <w:t>תכליתו של סעיף 30א</w:t>
      </w:r>
      <w:r>
        <w:rPr>
          <w:rFonts w:ascii="David" w:hAnsi="David"/>
          <w:color w:val="000000"/>
        </w:rPr>
        <w:t> </w:t>
      </w:r>
      <w:r>
        <w:rPr>
          <w:rFonts w:ascii="David" w:hAnsi="David"/>
          <w:color w:val="000000"/>
          <w:rtl/>
        </w:rPr>
        <w:t>לחוק התקשורת להיאבק בתופעת משלוח "ספאם" (דואר "זבל"). בתי המשפט עמדו לא אחת על הנזק שנגרם כתוצאה משיגור המוני של דבר פרסומת למי שאינם מעוניינים בכך, וכפועל יוצא הדבר נאסר בחוק תוך שנקבע כי מדובר בעוולה נזיקית (ראו גם דברי ההסבר להצעת חוק התקשורת (בזק ושירותים)</w:t>
      </w:r>
      <w:r>
        <w:rPr>
          <w:rFonts w:ascii="David" w:hAnsi="David"/>
          <w:color w:val="000000"/>
        </w:rPr>
        <w:t> </w:t>
      </w:r>
      <w:r>
        <w:rPr>
          <w:rFonts w:ascii="David" w:hAnsi="David"/>
          <w:color w:val="000000"/>
          <w:rtl/>
        </w:rPr>
        <w:t xml:space="preserve">(תיקון מס' 33), התשס"ה–2005, ה"ח הממשלה 886). </w:t>
      </w:r>
    </w:p>
    <w:p w:rsidR="00EB5012" w:rsidRDefault="00EB5012" w:rsidP="00EB5012">
      <w:pPr>
        <w:spacing w:line="360" w:lineRule="auto"/>
        <w:ind w:left="360"/>
        <w:jc w:val="both"/>
        <w:rPr>
          <w:rFonts w:ascii="David" w:hAnsi="David"/>
        </w:rPr>
      </w:pPr>
    </w:p>
    <w:p w:rsidR="00EB5012" w:rsidRDefault="00EB5012" w:rsidP="00EB5012">
      <w:pPr>
        <w:pStyle w:val="listparagraph"/>
        <w:numPr>
          <w:ilvl w:val="0"/>
          <w:numId w:val="2"/>
        </w:numPr>
        <w:bidi/>
        <w:spacing w:before="0" w:beforeAutospacing="0" w:after="0" w:afterAutospacing="0" w:line="360" w:lineRule="atLeast"/>
        <w:jc w:val="both"/>
        <w:rPr>
          <w:rFonts w:ascii="Garamond" w:hAnsi="Garamond"/>
          <w:color w:val="000000"/>
        </w:rPr>
      </w:pPr>
      <w:r>
        <w:rPr>
          <w:rFonts w:ascii="David" w:hAnsi="David" w:cs="David"/>
          <w:color w:val="000000"/>
          <w:rtl/>
        </w:rPr>
        <w:t>חוק התקשורת אוסר על </w:t>
      </w:r>
      <w:r>
        <w:rPr>
          <w:rFonts w:ascii="David" w:hAnsi="David" w:cs="David"/>
          <w:b/>
          <w:bCs/>
          <w:color w:val="000000"/>
          <w:rtl/>
        </w:rPr>
        <w:t>"מפרסם"</w:t>
      </w:r>
      <w:r>
        <w:rPr>
          <w:rFonts w:ascii="David" w:hAnsi="David" w:cs="David"/>
          <w:color w:val="000000"/>
          <w:rtl/>
        </w:rPr>
        <w:t> לשלוח </w:t>
      </w:r>
      <w:r>
        <w:rPr>
          <w:rFonts w:ascii="David" w:hAnsi="David" w:cs="David"/>
          <w:b/>
          <w:bCs/>
          <w:color w:val="000000"/>
          <w:rtl/>
        </w:rPr>
        <w:t>"דבר פרסומת"</w:t>
      </w:r>
      <w:r>
        <w:rPr>
          <w:rFonts w:ascii="David" w:hAnsi="David" w:cs="David"/>
          <w:color w:val="000000"/>
          <w:rtl/>
        </w:rPr>
        <w:t>, כהגדרת מונחים אלה בחוק התקשורת, אך מפרט גם מקרים אשר יוצאים מכלל הוראה זו. סעיף 30א(ב) רישא לחוק התקשורת מורה:</w:t>
      </w:r>
    </w:p>
    <w:p w:rsidR="00EB5012" w:rsidRDefault="00EB5012" w:rsidP="00EB5012">
      <w:pPr>
        <w:pStyle w:val="listparagraph"/>
        <w:bidi/>
        <w:spacing w:before="0" w:beforeAutospacing="0" w:after="0" w:afterAutospacing="0"/>
        <w:ind w:left="360"/>
        <w:jc w:val="both"/>
        <w:rPr>
          <w:rFonts w:ascii="Garamond" w:hAnsi="Garamond"/>
          <w:color w:val="000000"/>
        </w:rPr>
      </w:pPr>
    </w:p>
    <w:p w:rsidR="00EB5012" w:rsidRDefault="00EB5012" w:rsidP="00EB5012">
      <w:pPr>
        <w:pStyle w:val="listparagraph"/>
        <w:bidi/>
        <w:spacing w:before="0" w:beforeAutospacing="0" w:after="0" w:afterAutospacing="0" w:line="360" w:lineRule="atLeast"/>
        <w:ind w:left="360"/>
        <w:jc w:val="both"/>
        <w:rPr>
          <w:rFonts w:ascii="David" w:hAnsi="David" w:cs="David"/>
          <w:color w:val="000000"/>
          <w:rtl/>
        </w:rPr>
      </w:pPr>
      <w:r>
        <w:rPr>
          <w:rFonts w:ascii="David" w:hAnsi="David" w:cs="David"/>
          <w:color w:val="000000"/>
          <w:rtl/>
        </w:rPr>
        <w:t>"</w:t>
      </w:r>
      <w:r>
        <w:rPr>
          <w:rFonts w:ascii="David" w:hAnsi="David" w:cs="David"/>
          <w:b/>
          <w:bCs/>
          <w:color w:val="000000"/>
          <w:rtl/>
        </w:rPr>
        <w:t>לא ישגר מפרסם דבר פרסומת באמצעות פקסימיליה, מערכת חיוג אוטומטי, הודעה אלקטרונית או הודעת מסר קצר, בלא קבלת הסכמה מפורשת מראש של הנמען, בכתב, לרבות בהודעה אלקטרונית או בשיחה מוקלטת</w:t>
      </w:r>
      <w:r>
        <w:rPr>
          <w:rFonts w:ascii="David" w:hAnsi="David" w:cs="David"/>
          <w:color w:val="000000"/>
          <w:rtl/>
        </w:rPr>
        <w:t>...".</w:t>
      </w:r>
    </w:p>
    <w:p w:rsidR="00EB5012" w:rsidRDefault="00EB5012" w:rsidP="00EB5012">
      <w:pPr>
        <w:pStyle w:val="listparagraph"/>
        <w:bidi/>
        <w:spacing w:before="0" w:beforeAutospacing="0" w:after="0" w:afterAutospacing="0" w:line="360" w:lineRule="atLeast"/>
        <w:ind w:left="360"/>
        <w:jc w:val="both"/>
        <w:rPr>
          <w:rFonts w:ascii="David" w:hAnsi="David" w:cs="David"/>
          <w:color w:val="000000"/>
          <w:rtl/>
        </w:rPr>
      </w:pPr>
    </w:p>
    <w:p w:rsidR="00EB5012" w:rsidRDefault="00EB5012" w:rsidP="00EB5012">
      <w:pPr>
        <w:pStyle w:val="listparagraph"/>
        <w:numPr>
          <w:ilvl w:val="0"/>
          <w:numId w:val="2"/>
        </w:numPr>
        <w:bidi/>
        <w:spacing w:before="0" w:beforeAutospacing="0" w:after="0" w:afterAutospacing="0" w:line="360" w:lineRule="atLeast"/>
        <w:jc w:val="both"/>
        <w:rPr>
          <w:rFonts w:ascii="David" w:hAnsi="David" w:cs="David"/>
          <w:color w:val="000000"/>
        </w:rPr>
      </w:pPr>
      <w:r>
        <w:rPr>
          <w:rFonts w:ascii="David" w:hAnsi="David" w:cs="David"/>
          <w:color w:val="000000"/>
          <w:rtl/>
        </w:rPr>
        <w:t>ברע"א 1954/14 </w:t>
      </w:r>
      <w:r>
        <w:rPr>
          <w:rFonts w:ascii="David" w:hAnsi="David" w:cs="David"/>
          <w:b/>
          <w:bCs/>
          <w:color w:val="000000"/>
          <w:rtl/>
        </w:rPr>
        <w:t>חזני נ' הנגבי</w:t>
      </w:r>
      <w:r>
        <w:rPr>
          <w:rFonts w:ascii="David" w:hAnsi="David" w:cs="David"/>
          <w:color w:val="000000"/>
          <w:rtl/>
        </w:rPr>
        <w:t xml:space="preserve"> (4.8.14) נקבע:</w:t>
      </w:r>
    </w:p>
    <w:p w:rsidR="00EB5012" w:rsidRDefault="00EB5012" w:rsidP="00EB5012">
      <w:pPr>
        <w:pStyle w:val="listparagraph"/>
        <w:bidi/>
        <w:spacing w:before="0" w:beforeAutospacing="0" w:after="0" w:afterAutospacing="0" w:line="360" w:lineRule="atLeast"/>
        <w:ind w:left="360"/>
        <w:jc w:val="both"/>
        <w:rPr>
          <w:rFonts w:ascii="David" w:hAnsi="David" w:cs="David"/>
          <w:color w:val="000000"/>
          <w:sz w:val="27"/>
          <w:szCs w:val="27"/>
        </w:rPr>
      </w:pPr>
    </w:p>
    <w:p w:rsidR="00EB5012" w:rsidRDefault="00EB5012" w:rsidP="008606A0">
      <w:pPr>
        <w:pStyle w:val="ad"/>
        <w:spacing w:line="360" w:lineRule="auto"/>
        <w:ind w:left="651" w:right="567"/>
        <w:jc w:val="both"/>
        <w:rPr>
          <w:rFonts w:ascii="David" w:hAnsi="David" w:cs="David"/>
          <w:color w:val="000000"/>
          <w:rtl/>
        </w:rPr>
      </w:pPr>
      <w:r>
        <w:rPr>
          <w:rFonts w:ascii="David" w:hAnsi="David" w:cs="David"/>
          <w:color w:val="000000"/>
          <w:rtl/>
        </w:rPr>
        <w:t>"</w:t>
      </w:r>
      <w:r>
        <w:rPr>
          <w:rFonts w:ascii="David" w:eastAsia="Times New Roman" w:hAnsi="David" w:cs="David"/>
          <w:color w:val="000000"/>
          <w:sz w:val="24"/>
          <w:szCs w:val="24"/>
          <w:rtl/>
        </w:rPr>
        <w:t>הספאם מהווה מטרד ציבורי הגורם לנזקים רחבי היקף. כאשר הוא נשלח באמצעות הודעות דואר אלקטרוני הוא גורם לבעיות מכמה סוגים: הסוג הראשון נוגע לתוכנן של הודעות הפרסומת – תדיר שהן מכילות מידע שקרי או פוגעני שמגיע לנמען אשר אינו חפץ בו.</w:t>
      </w:r>
      <w:r w:rsidR="008606A0">
        <w:rPr>
          <w:rFonts w:ascii="David" w:eastAsia="Times New Roman" w:hAnsi="David" w:cs="David" w:hint="cs"/>
          <w:color w:val="000000"/>
          <w:sz w:val="24"/>
          <w:szCs w:val="24"/>
          <w:rtl/>
        </w:rPr>
        <w:t>..</w:t>
      </w:r>
      <w:r>
        <w:rPr>
          <w:rFonts w:ascii="David" w:eastAsia="Times New Roman" w:hAnsi="David" w:cs="David"/>
          <w:color w:val="000000"/>
          <w:sz w:val="24"/>
          <w:szCs w:val="24"/>
          <w:rtl/>
        </w:rPr>
        <w:t xml:space="preserve">סוג שני של בעיות נוגע לפגיעה בפרטיות של הנמען, שכתובת הדואר אלקטרוני שלו הועברה לשולח ונעשה בה שימוש בלא הסכמתו. סוג שלישי של בעיות נוגע לשימוש בדואר האלקטרוני כאמצעי תקשורת. קלות ההפעלה ועלותו הנמוכה של הדואר האלקטרוני הפכה אותו לאמצעי תקשורת נפוץ ויעיל. עסקים רבים משתמשים בו כאמצעי תקשורת מרכזי. תופעת הספאם פוגעת ביעילות ובתועלת שהעסקים מפיקים ממנו ופוגמת במסחר. </w:t>
      </w:r>
      <w:r>
        <w:rPr>
          <w:rFonts w:ascii="David" w:eastAsia="Times New Roman" w:hAnsi="David" w:cs="David"/>
          <w:b/>
          <w:bCs/>
          <w:color w:val="000000"/>
          <w:sz w:val="24"/>
          <w:szCs w:val="24"/>
          <w:rtl/>
        </w:rPr>
        <w:t xml:space="preserve">הסוג הרביעי והמשמעותי מכולן נוגע להעברת העלויות הכרוכות בשימוש בדואר האלקטרוני מן המפרסם אל הנמען וספקי התקשורת. דואר הזבל כופה על הנמענים, בעל כורחם, לבצע פעולות רבות ותדירות של מיון דואר אלקטרוני. זמן רב מבוזבז על סינון והפרדה בין ההודעות הרצויות לבין כלל ההודעות המתקבלות. </w:t>
      </w:r>
      <w:r>
        <w:rPr>
          <w:rFonts w:ascii="David" w:eastAsia="Times New Roman" w:hAnsi="David" w:cs="David"/>
          <w:b/>
          <w:bCs/>
          <w:color w:val="000000"/>
          <w:sz w:val="24"/>
          <w:szCs w:val="24"/>
          <w:rtl/>
        </w:rPr>
        <w:lastRenderedPageBreak/>
        <w:t>מעבר על כל ההודעות הוא פעולה שצורכת זמן, והסינון האמור – שנעשה על בסיס יומיומי – מצטבר לכדי פרקי זמן ממושכים</w:t>
      </w:r>
      <w:r>
        <w:rPr>
          <w:rFonts w:ascii="David" w:hAnsi="David" w:cs="David"/>
          <w:color w:val="000000"/>
          <w:rtl/>
        </w:rPr>
        <w:t>" </w:t>
      </w:r>
      <w:r>
        <w:rPr>
          <w:rFonts w:cs="David"/>
          <w:sz w:val="24"/>
          <w:szCs w:val="24"/>
          <w:rtl/>
        </w:rPr>
        <w:t>(פסקה 2; ההדגשה אינה במקור</w:t>
      </w:r>
      <w:r>
        <w:rPr>
          <w:rFonts w:ascii="David" w:hAnsi="David" w:cs="David"/>
          <w:color w:val="000000"/>
          <w:rtl/>
        </w:rPr>
        <w:t>).</w:t>
      </w:r>
    </w:p>
    <w:p w:rsidR="00EB5012" w:rsidRDefault="00EB5012" w:rsidP="00EB5012">
      <w:pPr>
        <w:pStyle w:val="ad"/>
        <w:spacing w:line="360" w:lineRule="auto"/>
        <w:ind w:left="651" w:right="567"/>
        <w:jc w:val="both"/>
        <w:rPr>
          <w:rFonts w:ascii="David" w:hAnsi="David" w:cs="David"/>
          <w:color w:val="000000"/>
          <w:rtl/>
        </w:rPr>
      </w:pPr>
    </w:p>
    <w:p w:rsidR="00EB5012" w:rsidRDefault="00EB5012" w:rsidP="00EB5012">
      <w:pPr>
        <w:spacing w:after="160" w:line="360" w:lineRule="auto"/>
        <w:jc w:val="both"/>
        <w:rPr>
          <w:rFonts w:ascii="David" w:hAnsi="David"/>
          <w:sz w:val="28"/>
          <w:szCs w:val="28"/>
          <w:rtl/>
        </w:rPr>
      </w:pPr>
      <w:r>
        <w:rPr>
          <w:rFonts w:ascii="David" w:hAnsi="David"/>
          <w:b/>
          <w:bCs/>
          <w:sz w:val="26"/>
          <w:szCs w:val="26"/>
          <w:rtl/>
        </w:rPr>
        <w:t xml:space="preserve">ד. </w:t>
      </w:r>
      <w:r>
        <w:rPr>
          <w:rFonts w:ascii="David" w:hAnsi="David"/>
          <w:b/>
          <w:bCs/>
          <w:sz w:val="26"/>
          <w:szCs w:val="26"/>
          <w:u w:val="single"/>
          <w:rtl/>
        </w:rPr>
        <w:t>האם</w:t>
      </w:r>
      <w:r>
        <w:rPr>
          <w:rFonts w:ascii="David" w:hAnsi="David"/>
          <w:b/>
          <w:bCs/>
          <w:sz w:val="28"/>
          <w:szCs w:val="28"/>
          <w:u w:val="single"/>
          <w:rtl/>
        </w:rPr>
        <w:t xml:space="preserve"> המשיבים הם "מפרסם" והאם ההודעות הן "דבר פרסומת</w:t>
      </w:r>
      <w:r>
        <w:rPr>
          <w:rFonts w:ascii="David" w:hAnsi="David"/>
          <w:sz w:val="28"/>
          <w:szCs w:val="28"/>
          <w:rtl/>
        </w:rPr>
        <w:t>"?</w:t>
      </w:r>
    </w:p>
    <w:p w:rsidR="00EB5012" w:rsidRDefault="00EB5012" w:rsidP="00EB5012">
      <w:pPr>
        <w:pStyle w:val="ad"/>
        <w:rPr>
          <w:rFonts w:cs="David"/>
          <w:sz w:val="24"/>
          <w:szCs w:val="24"/>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סעיף 30א(ב) לחוק התקשורת קובע כי:</w:t>
      </w:r>
    </w:p>
    <w:p w:rsidR="00EB5012" w:rsidRDefault="00EB5012" w:rsidP="00EB5012">
      <w:pPr>
        <w:pStyle w:val="ad"/>
        <w:spacing w:after="120" w:line="360" w:lineRule="auto"/>
        <w:ind w:left="360"/>
        <w:jc w:val="both"/>
        <w:rPr>
          <w:rFonts w:cs="David"/>
          <w:sz w:val="24"/>
          <w:szCs w:val="24"/>
        </w:rPr>
      </w:pPr>
    </w:p>
    <w:p w:rsidR="00EB5012" w:rsidRPr="001225E3" w:rsidRDefault="00EB5012" w:rsidP="001225E3">
      <w:pPr>
        <w:pStyle w:val="ad"/>
        <w:spacing w:line="360" w:lineRule="auto"/>
        <w:ind w:left="651" w:right="567"/>
        <w:jc w:val="both"/>
        <w:rPr>
          <w:rFonts w:cs="David"/>
          <w:sz w:val="24"/>
          <w:szCs w:val="24"/>
        </w:rPr>
      </w:pPr>
      <w:r>
        <w:rPr>
          <w:rFonts w:cs="David"/>
          <w:b/>
          <w:bCs/>
          <w:sz w:val="24"/>
          <w:szCs w:val="24"/>
          <w:rtl/>
        </w:rPr>
        <w:t>"</w:t>
      </w:r>
      <w:r w:rsidRPr="001225E3">
        <w:rPr>
          <w:rFonts w:cs="David"/>
          <w:sz w:val="24"/>
          <w:szCs w:val="24"/>
          <w:rtl/>
        </w:rPr>
        <w:t>לא ישגר מפרסם דבר פרסומת באמצעות פקסימיליה, מערכת חיוג אוטומטי, הודעה אלקטרונית או הודעת מסר קצר, בלא קבלת הסכמה מפורשת מראש של הנמען, בכתב, לרבות בהודעה אלקטרונית או בשיחה מוקלטת".</w:t>
      </w:r>
    </w:p>
    <w:p w:rsidR="00EB5012" w:rsidRDefault="00EB5012" w:rsidP="00EB5012">
      <w:pPr>
        <w:pStyle w:val="ad"/>
        <w:spacing w:after="120" w:line="360" w:lineRule="auto"/>
        <w:ind w:left="360"/>
        <w:jc w:val="both"/>
        <w:rPr>
          <w:rFonts w:cs="David"/>
          <w:sz w:val="24"/>
          <w:szCs w:val="24"/>
          <w:rtl/>
        </w:rPr>
      </w:pPr>
    </w:p>
    <w:p w:rsidR="00EB5012" w:rsidRDefault="00EB5012" w:rsidP="00EB5012">
      <w:pPr>
        <w:pStyle w:val="ad"/>
        <w:spacing w:after="120" w:line="360" w:lineRule="auto"/>
        <w:ind w:left="360"/>
        <w:jc w:val="both"/>
        <w:rPr>
          <w:rFonts w:cs="David"/>
          <w:sz w:val="24"/>
          <w:szCs w:val="24"/>
        </w:rPr>
      </w:pPr>
      <w:r>
        <w:rPr>
          <w:rFonts w:cs="David"/>
          <w:sz w:val="24"/>
          <w:szCs w:val="24"/>
          <w:rtl/>
        </w:rPr>
        <w:t>הסעיף מונה מספר יסודות אשר הוכחתם מוטלת על המבקש, כאשר השניים הרלוונטיים לענייננו הם "ישגר" ו"מפרסם".</w:t>
      </w:r>
      <w:r>
        <w:rPr>
          <w:rFonts w:cs="David"/>
          <w:color w:val="FF0000"/>
          <w:sz w:val="24"/>
          <w:szCs w:val="24"/>
          <w:rtl/>
        </w:rPr>
        <w:t xml:space="preserve"> </w:t>
      </w:r>
    </w:p>
    <w:p w:rsidR="00EB5012" w:rsidRDefault="00EB5012" w:rsidP="00EB5012">
      <w:pPr>
        <w:pStyle w:val="ad"/>
        <w:spacing w:after="120" w:line="360" w:lineRule="auto"/>
        <w:ind w:left="360"/>
        <w:jc w:val="both"/>
        <w:rPr>
          <w:rFonts w:cs="David"/>
          <w:sz w:val="24"/>
          <w:szCs w:val="24"/>
          <w:rtl/>
        </w:rPr>
      </w:pPr>
    </w:p>
    <w:p w:rsidR="00EB5012" w:rsidRDefault="00EB5012" w:rsidP="00EB5012">
      <w:pPr>
        <w:pStyle w:val="ad"/>
        <w:numPr>
          <w:ilvl w:val="0"/>
          <w:numId w:val="2"/>
        </w:numPr>
        <w:spacing w:after="120" w:line="360" w:lineRule="auto"/>
        <w:jc w:val="both"/>
        <w:rPr>
          <w:rFonts w:cs="David"/>
          <w:sz w:val="24"/>
          <w:szCs w:val="24"/>
        </w:rPr>
      </w:pPr>
      <w:r>
        <w:rPr>
          <w:rFonts w:cs="David"/>
          <w:sz w:val="24"/>
          <w:szCs w:val="24"/>
          <w:rtl/>
        </w:rPr>
        <w:t>המונח "מפרסם" מוגדר בסעיף 30א(א) לחוק התקשורת:</w:t>
      </w:r>
    </w:p>
    <w:p w:rsidR="00EB5012" w:rsidRDefault="00EB5012" w:rsidP="00EB5012">
      <w:pPr>
        <w:pStyle w:val="ad"/>
        <w:spacing w:after="120" w:line="360" w:lineRule="auto"/>
        <w:ind w:left="360"/>
        <w:jc w:val="both"/>
        <w:rPr>
          <w:rFonts w:cs="David"/>
          <w:sz w:val="24"/>
          <w:szCs w:val="24"/>
        </w:rPr>
      </w:pPr>
    </w:p>
    <w:p w:rsidR="00EB5012" w:rsidRPr="001225E3" w:rsidRDefault="00EB5012" w:rsidP="001225E3">
      <w:pPr>
        <w:pStyle w:val="ad"/>
        <w:spacing w:line="360" w:lineRule="auto"/>
        <w:ind w:left="651" w:right="567"/>
        <w:jc w:val="both"/>
        <w:rPr>
          <w:rFonts w:cs="David"/>
          <w:sz w:val="24"/>
          <w:szCs w:val="24"/>
        </w:rPr>
      </w:pPr>
      <w:r w:rsidRPr="001225E3">
        <w:rPr>
          <w:rFonts w:cs="David"/>
          <w:sz w:val="24"/>
          <w:szCs w:val="24"/>
          <w:rtl/>
        </w:rPr>
        <w:t>"מי ששמו או מענו מופיעים בדבר הפרסומת כמען להתקשרות לשם רכישתו של נושא דבר הפרסומת, מי שתוכנו של דבר הפרסומת עשוי לפרסם את עסקיו או לקדם את מטרותיו, ובכלל זה לקדם קבלת תרומות או תעמולה, או מי שמשווק את נושא דבר הפרסומת בעבור אחר; לעניין זה, לא יראו כמפרסם מי שביצע, בעבור אחר, פעולת שיגור של דבר פרסומת כשירות בזק לפי רישיון או תקנות ההיתר הכללי, לפי העניין."</w:t>
      </w:r>
    </w:p>
    <w:p w:rsidR="00EB5012" w:rsidRDefault="00EB5012" w:rsidP="00EB5012">
      <w:pPr>
        <w:pStyle w:val="ad"/>
        <w:spacing w:after="120" w:line="360" w:lineRule="auto"/>
        <w:ind w:left="360"/>
        <w:jc w:val="both"/>
        <w:rPr>
          <w:rFonts w:cs="David"/>
          <w:b/>
          <w:bCs/>
          <w:sz w:val="24"/>
          <w:szCs w:val="24"/>
          <w:rtl/>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 xml:space="preserve">על מנת לדון בתחולת הגדרת מפרסם על המשיבים, יש לבחון את נוסח ההודעות עצמן (נספח ב' לבקשה). </w:t>
      </w:r>
    </w:p>
    <w:p w:rsidR="00EB5012" w:rsidRDefault="00EB5012" w:rsidP="00EB5012">
      <w:pPr>
        <w:pStyle w:val="ad"/>
        <w:spacing w:after="120" w:line="360" w:lineRule="auto"/>
        <w:ind w:left="360"/>
        <w:jc w:val="both"/>
        <w:rPr>
          <w:rFonts w:cs="David"/>
          <w:sz w:val="24"/>
          <w:szCs w:val="24"/>
        </w:rPr>
      </w:pPr>
    </w:p>
    <w:p w:rsidR="00EB5012" w:rsidRDefault="00EB5012" w:rsidP="00EB5012">
      <w:pPr>
        <w:pStyle w:val="ad"/>
        <w:spacing w:after="120" w:line="360" w:lineRule="auto"/>
        <w:ind w:left="360"/>
        <w:jc w:val="both"/>
        <w:rPr>
          <w:rFonts w:cs="David"/>
          <w:sz w:val="24"/>
          <w:szCs w:val="24"/>
          <w:rtl/>
        </w:rPr>
      </w:pPr>
      <w:r>
        <w:rPr>
          <w:rFonts w:cs="David"/>
          <w:sz w:val="24"/>
          <w:szCs w:val="24"/>
          <w:rtl/>
        </w:rPr>
        <w:t>ההודעה הראשונה נשלחה ביום 27.5.21:</w:t>
      </w:r>
    </w:p>
    <w:p w:rsidR="00EB5012" w:rsidRPr="00F350BB" w:rsidRDefault="00EB5012" w:rsidP="00EB5012">
      <w:pPr>
        <w:pStyle w:val="ad"/>
        <w:spacing w:after="120" w:line="360" w:lineRule="auto"/>
        <w:ind w:left="360"/>
        <w:jc w:val="both"/>
        <w:rPr>
          <w:rFonts w:cs="David"/>
          <w:sz w:val="24"/>
          <w:szCs w:val="24"/>
          <w:rtl/>
        </w:rPr>
      </w:pPr>
    </w:p>
    <w:p w:rsidR="00EB5012" w:rsidRPr="00F350BB" w:rsidRDefault="00EB5012" w:rsidP="00EB5012">
      <w:pPr>
        <w:pStyle w:val="ad"/>
        <w:spacing w:after="120" w:line="360" w:lineRule="auto"/>
        <w:ind w:left="360"/>
        <w:jc w:val="both"/>
        <w:rPr>
          <w:rFonts w:cs="David"/>
          <w:sz w:val="24"/>
          <w:szCs w:val="24"/>
          <w:rtl/>
        </w:rPr>
      </w:pPr>
      <w:r w:rsidRPr="00F350BB">
        <w:rPr>
          <w:rFonts w:cs="David"/>
          <w:sz w:val="24"/>
          <w:szCs w:val="24"/>
          <w:rtl/>
        </w:rPr>
        <w:t>"קריאה לחברי האור!</w:t>
      </w:r>
    </w:p>
    <w:p w:rsidR="00EB5012" w:rsidRPr="00F350BB" w:rsidRDefault="00EB5012" w:rsidP="00EB5012">
      <w:pPr>
        <w:pStyle w:val="ad"/>
        <w:spacing w:after="120" w:line="360" w:lineRule="auto"/>
        <w:ind w:left="360"/>
        <w:jc w:val="both"/>
        <w:rPr>
          <w:rFonts w:cs="David"/>
          <w:sz w:val="24"/>
          <w:szCs w:val="24"/>
          <w:rtl/>
        </w:rPr>
      </w:pPr>
      <w:r w:rsidRPr="00F350BB">
        <w:rPr>
          <w:rFonts w:cs="David"/>
          <w:sz w:val="24"/>
          <w:szCs w:val="24"/>
          <w:rtl/>
        </w:rPr>
        <w:t>הלילה מול הים והגלים לייט נמל תא</w:t>
      </w:r>
    </w:p>
    <w:p w:rsidR="00EB5012" w:rsidRDefault="00EB5012" w:rsidP="00EB5012">
      <w:pPr>
        <w:pStyle w:val="ad"/>
        <w:spacing w:after="120" w:line="360" w:lineRule="auto"/>
        <w:ind w:left="360"/>
        <w:jc w:val="both"/>
        <w:rPr>
          <w:rFonts w:cs="David"/>
          <w:b/>
          <w:bCs/>
          <w:sz w:val="24"/>
          <w:szCs w:val="24"/>
          <w:rtl/>
        </w:rPr>
      </w:pPr>
      <w:r w:rsidRPr="00F350BB">
        <w:rPr>
          <w:rFonts w:cs="David"/>
          <w:sz w:val="24"/>
          <w:szCs w:val="24"/>
          <w:rtl/>
        </w:rPr>
        <w:t>קופון לחינם</w:t>
      </w:r>
      <w:r>
        <w:rPr>
          <w:rFonts w:cs="David"/>
          <w:b/>
          <w:bCs/>
          <w:sz w:val="24"/>
          <w:szCs w:val="24"/>
          <w:rtl/>
        </w:rPr>
        <w:t>....."</w:t>
      </w:r>
    </w:p>
    <w:p w:rsidR="00EB5012" w:rsidRDefault="00EB5012" w:rsidP="00EB5012">
      <w:pPr>
        <w:pStyle w:val="ad"/>
        <w:spacing w:after="120" w:line="360" w:lineRule="auto"/>
        <w:ind w:left="360"/>
        <w:jc w:val="both"/>
        <w:rPr>
          <w:rFonts w:cs="David"/>
          <w:sz w:val="24"/>
          <w:szCs w:val="24"/>
          <w:rtl/>
        </w:rPr>
      </w:pPr>
    </w:p>
    <w:p w:rsidR="00EB5012" w:rsidRDefault="00EB5012" w:rsidP="00EB5012">
      <w:pPr>
        <w:pStyle w:val="ad"/>
        <w:spacing w:after="120" w:line="360" w:lineRule="auto"/>
        <w:ind w:left="360"/>
        <w:jc w:val="both"/>
        <w:rPr>
          <w:rFonts w:cs="David"/>
          <w:sz w:val="24"/>
          <w:szCs w:val="24"/>
          <w:rtl/>
        </w:rPr>
      </w:pPr>
      <w:r>
        <w:rPr>
          <w:rFonts w:cs="David"/>
          <w:sz w:val="24"/>
          <w:szCs w:val="24"/>
          <w:rtl/>
        </w:rPr>
        <w:lastRenderedPageBreak/>
        <w:t>ההודעה השנייה נשלחה ביום 3.6.21:</w:t>
      </w:r>
    </w:p>
    <w:p w:rsidR="00EB5012" w:rsidRDefault="00EB5012" w:rsidP="00EB5012">
      <w:pPr>
        <w:pStyle w:val="ad"/>
        <w:spacing w:after="120" w:line="360" w:lineRule="auto"/>
        <w:ind w:left="360"/>
        <w:jc w:val="both"/>
        <w:rPr>
          <w:rFonts w:cs="David"/>
          <w:sz w:val="24"/>
          <w:szCs w:val="24"/>
          <w:rtl/>
        </w:rPr>
      </w:pPr>
    </w:p>
    <w:p w:rsidR="00EB5012" w:rsidRPr="00F350BB" w:rsidRDefault="00EB5012" w:rsidP="00EB5012">
      <w:pPr>
        <w:pStyle w:val="ad"/>
        <w:spacing w:after="120" w:line="360" w:lineRule="auto"/>
        <w:ind w:left="360"/>
        <w:jc w:val="both"/>
        <w:rPr>
          <w:rFonts w:cs="David"/>
          <w:sz w:val="24"/>
          <w:szCs w:val="24"/>
          <w:rtl/>
        </w:rPr>
      </w:pPr>
      <w:r>
        <w:rPr>
          <w:rFonts w:cs="David"/>
          <w:b/>
          <w:bCs/>
          <w:sz w:val="24"/>
          <w:szCs w:val="24"/>
          <w:rtl/>
        </w:rPr>
        <w:t>"</w:t>
      </w:r>
      <w:r w:rsidRPr="00F350BB">
        <w:rPr>
          <w:rFonts w:cs="David"/>
          <w:sz w:val="24"/>
          <w:szCs w:val="24"/>
          <w:rtl/>
        </w:rPr>
        <w:t>נגיד את האמת</w:t>
      </w:r>
    </w:p>
    <w:p w:rsidR="00EB5012" w:rsidRPr="00F350BB" w:rsidRDefault="00EB5012" w:rsidP="00EB5012">
      <w:pPr>
        <w:pStyle w:val="ad"/>
        <w:spacing w:after="120" w:line="360" w:lineRule="auto"/>
        <w:ind w:left="360"/>
        <w:jc w:val="both"/>
        <w:rPr>
          <w:rFonts w:cs="David"/>
          <w:sz w:val="24"/>
          <w:szCs w:val="24"/>
          <w:rtl/>
        </w:rPr>
      </w:pPr>
      <w:r w:rsidRPr="00F350BB">
        <w:rPr>
          <w:rFonts w:cs="David"/>
          <w:sz w:val="24"/>
          <w:szCs w:val="24"/>
          <w:rtl/>
        </w:rPr>
        <w:t>מסתמן שהלילה יהיה בלתי נשכח</w:t>
      </w:r>
    </w:p>
    <w:p w:rsidR="00EB5012" w:rsidRPr="00F350BB" w:rsidRDefault="00EB5012" w:rsidP="00EB5012">
      <w:pPr>
        <w:pStyle w:val="ad"/>
        <w:spacing w:after="120" w:line="360" w:lineRule="auto"/>
        <w:ind w:left="360"/>
        <w:jc w:val="both"/>
        <w:rPr>
          <w:rFonts w:cs="David"/>
          <w:sz w:val="24"/>
          <w:szCs w:val="24"/>
          <w:rtl/>
        </w:rPr>
      </w:pPr>
      <w:r w:rsidRPr="00F350BB">
        <w:rPr>
          <w:rFonts w:cs="David"/>
          <w:sz w:val="24"/>
          <w:szCs w:val="24"/>
          <w:rtl/>
        </w:rPr>
        <w:t>שולח לך קופון לחינם....</w:t>
      </w:r>
    </w:p>
    <w:p w:rsidR="00EB5012" w:rsidRDefault="00EB5012" w:rsidP="00EB5012">
      <w:pPr>
        <w:pStyle w:val="ad"/>
        <w:spacing w:after="120" w:line="360" w:lineRule="auto"/>
        <w:ind w:left="360"/>
        <w:jc w:val="both"/>
        <w:rPr>
          <w:rFonts w:cs="David"/>
          <w:b/>
          <w:bCs/>
          <w:sz w:val="24"/>
          <w:szCs w:val="24"/>
          <w:rtl/>
        </w:rPr>
      </w:pPr>
      <w:r w:rsidRPr="00F350BB">
        <w:rPr>
          <w:rFonts w:cs="David"/>
          <w:sz w:val="24"/>
          <w:szCs w:val="24"/>
          <w:rtl/>
        </w:rPr>
        <w:t>יש פסטיבל ענק הערב בלייט נמל ת"א</w:t>
      </w:r>
      <w:r>
        <w:rPr>
          <w:rFonts w:cs="David"/>
          <w:b/>
          <w:bCs/>
          <w:sz w:val="24"/>
          <w:szCs w:val="24"/>
          <w:rtl/>
        </w:rPr>
        <w:t>..."</w:t>
      </w:r>
    </w:p>
    <w:p w:rsidR="00EB5012" w:rsidRDefault="00EB5012" w:rsidP="00EB5012">
      <w:pPr>
        <w:pStyle w:val="ad"/>
        <w:spacing w:after="120" w:line="360" w:lineRule="auto"/>
        <w:ind w:left="360"/>
        <w:jc w:val="both"/>
        <w:rPr>
          <w:rFonts w:cs="David"/>
          <w:sz w:val="24"/>
          <w:szCs w:val="24"/>
          <w:rtl/>
        </w:rPr>
      </w:pPr>
    </w:p>
    <w:p w:rsidR="00EB5012" w:rsidRDefault="00470D77" w:rsidP="00EB5012">
      <w:pPr>
        <w:pStyle w:val="ad"/>
        <w:spacing w:after="120" w:line="360" w:lineRule="auto"/>
        <w:ind w:left="360"/>
        <w:jc w:val="both"/>
        <w:rPr>
          <w:rFonts w:cs="David"/>
          <w:sz w:val="24"/>
          <w:szCs w:val="24"/>
          <w:rtl/>
        </w:rPr>
      </w:pPr>
      <w:r>
        <w:rPr>
          <w:rFonts w:cs="David" w:hint="cs"/>
          <w:sz w:val="24"/>
          <w:szCs w:val="24"/>
          <w:rtl/>
        </w:rPr>
        <w:t>ה</w:t>
      </w:r>
      <w:r w:rsidR="00EB5012">
        <w:rPr>
          <w:rFonts w:cs="David"/>
          <w:sz w:val="24"/>
          <w:szCs w:val="24"/>
          <w:rtl/>
        </w:rPr>
        <w:t>הודעה השלישית מיום 10.6.21 דומה בנוסחה להודעה השנייה.</w:t>
      </w:r>
    </w:p>
    <w:p w:rsidR="00EB5012" w:rsidRDefault="00EB5012" w:rsidP="00EB5012">
      <w:pPr>
        <w:pStyle w:val="ad"/>
        <w:spacing w:after="120" w:line="360" w:lineRule="auto"/>
        <w:ind w:left="360"/>
        <w:jc w:val="both"/>
        <w:rPr>
          <w:rFonts w:cs="David"/>
          <w:sz w:val="24"/>
          <w:szCs w:val="24"/>
          <w:rtl/>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 xml:space="preserve">לאור נוסח ההודעות, ועל פי הגדרת "מפרסם" בחוק התקשורת, יש לקבל את טענת המבקש כי המשיבה 1 הינה בגדר "מפרסם", כיוון ששם המועדון מופיע בהודעות ויש בכך כדי לפרסם את עסקה או לקדם את מטרותיה.   </w:t>
      </w:r>
    </w:p>
    <w:p w:rsidR="00EB5012" w:rsidRDefault="00EB5012" w:rsidP="00EB5012">
      <w:pPr>
        <w:pStyle w:val="ad"/>
        <w:spacing w:after="120" w:line="360" w:lineRule="auto"/>
        <w:ind w:left="360"/>
        <w:jc w:val="both"/>
        <w:rPr>
          <w:rFonts w:cs="David"/>
          <w:sz w:val="24"/>
          <w:szCs w:val="24"/>
        </w:rPr>
      </w:pPr>
    </w:p>
    <w:p w:rsidR="00EB5012" w:rsidRDefault="00EB5012" w:rsidP="00EB5012">
      <w:pPr>
        <w:pStyle w:val="ad"/>
        <w:numPr>
          <w:ilvl w:val="0"/>
          <w:numId w:val="2"/>
        </w:numPr>
        <w:spacing w:after="120" w:line="360" w:lineRule="auto"/>
        <w:jc w:val="both"/>
        <w:rPr>
          <w:rFonts w:cs="David"/>
          <w:sz w:val="24"/>
          <w:szCs w:val="24"/>
        </w:rPr>
      </w:pPr>
      <w:r>
        <w:rPr>
          <w:rFonts w:cs="David"/>
          <w:sz w:val="24"/>
          <w:szCs w:val="24"/>
          <w:rtl/>
        </w:rPr>
        <w:t>"דבר פרסומת" מוגדר בחוק התקשורת ככל אחד מאלה:</w:t>
      </w:r>
    </w:p>
    <w:p w:rsidR="00EB5012" w:rsidRDefault="00EB5012" w:rsidP="00EB5012">
      <w:pPr>
        <w:pStyle w:val="ad"/>
        <w:spacing w:after="120" w:line="360" w:lineRule="auto"/>
        <w:ind w:left="360"/>
        <w:jc w:val="both"/>
        <w:rPr>
          <w:rFonts w:cs="David"/>
          <w:sz w:val="24"/>
          <w:szCs w:val="24"/>
        </w:rPr>
      </w:pPr>
    </w:p>
    <w:p w:rsidR="00EB5012" w:rsidRPr="001225E3" w:rsidRDefault="00EB5012" w:rsidP="001225E3">
      <w:pPr>
        <w:pStyle w:val="ad"/>
        <w:spacing w:line="360" w:lineRule="auto"/>
        <w:ind w:left="651" w:right="567"/>
        <w:jc w:val="both"/>
        <w:rPr>
          <w:rFonts w:cs="David"/>
          <w:sz w:val="24"/>
          <w:szCs w:val="24"/>
          <w:rtl/>
        </w:rPr>
      </w:pPr>
      <w:r>
        <w:rPr>
          <w:rFonts w:cs="David"/>
          <w:sz w:val="24"/>
          <w:szCs w:val="24"/>
          <w:rtl/>
        </w:rPr>
        <w:t>"</w:t>
      </w:r>
      <w:r w:rsidRPr="001225E3">
        <w:rPr>
          <w:rFonts w:cs="David"/>
          <w:sz w:val="24"/>
          <w:szCs w:val="24"/>
          <w:rtl/>
        </w:rPr>
        <w:t>(1)   מסר המופץ באופן מסחרי, שמטרתו לעודד רכישת מוצר או שירות או לעודד הוצאת כספים בדרך אחרת;</w:t>
      </w:r>
    </w:p>
    <w:p w:rsidR="00EB5012" w:rsidRPr="001225E3" w:rsidRDefault="00EB5012" w:rsidP="001225E3">
      <w:pPr>
        <w:pStyle w:val="ad"/>
        <w:spacing w:line="360" w:lineRule="auto"/>
        <w:ind w:left="651" w:right="567"/>
        <w:jc w:val="both"/>
        <w:rPr>
          <w:rFonts w:cs="David"/>
          <w:sz w:val="24"/>
          <w:szCs w:val="24"/>
          <w:rtl/>
        </w:rPr>
      </w:pPr>
      <w:r w:rsidRPr="001225E3">
        <w:rPr>
          <w:rFonts w:cs="David"/>
          <w:sz w:val="24"/>
          <w:szCs w:val="24"/>
          <w:rtl/>
        </w:rPr>
        <w:t>(2)   מסר המופץ לציבור הרחב שמטרתו בקשת תרומה או תעמולה;</w:t>
      </w:r>
    </w:p>
    <w:p w:rsidR="001225E3" w:rsidRDefault="00EB5012" w:rsidP="001225E3">
      <w:pPr>
        <w:pStyle w:val="ad"/>
        <w:spacing w:line="360" w:lineRule="auto"/>
        <w:ind w:left="651" w:right="567"/>
        <w:jc w:val="both"/>
        <w:rPr>
          <w:rFonts w:cs="David"/>
          <w:sz w:val="24"/>
          <w:szCs w:val="24"/>
          <w:rtl/>
        </w:rPr>
      </w:pPr>
      <w:r w:rsidRPr="001225E3">
        <w:rPr>
          <w:rFonts w:cs="David"/>
          <w:sz w:val="24"/>
          <w:szCs w:val="24"/>
          <w:rtl/>
        </w:rPr>
        <w:t>(3)   מסר שאינו דבר פרסומת כאמור בפסקה (1) או (2), המופץ לציבור הרחב, ונכללת בו הצעה לנמען להתקשר למספר טלפון מסוים לשם קבלת מסר כלשהו</w:t>
      </w:r>
      <w:r w:rsidR="001225E3">
        <w:rPr>
          <w:rFonts w:cs="David" w:hint="cs"/>
          <w:sz w:val="24"/>
          <w:szCs w:val="24"/>
          <w:rtl/>
        </w:rPr>
        <w:t>...".</w:t>
      </w:r>
    </w:p>
    <w:p w:rsidR="001225E3" w:rsidRDefault="001225E3" w:rsidP="001225E3">
      <w:pPr>
        <w:pStyle w:val="ad"/>
        <w:spacing w:line="360" w:lineRule="auto"/>
        <w:ind w:left="651" w:right="567"/>
        <w:jc w:val="both"/>
        <w:rPr>
          <w:rFonts w:cs="David"/>
          <w:sz w:val="24"/>
          <w:szCs w:val="24"/>
          <w:rtl/>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נוסחן של ההודעות מלמד חד משמעית כי הן מהוות "דבר פרסומת", באשר לפי לשונן, מטרתן הינה לעודד השתתפות בליין המסיבות שבמועדון, תוך הוצאת כספים בין היתר הרכישה כרטיס כניסה, משקאות, מזון וכיוב'.</w:t>
      </w:r>
    </w:p>
    <w:p w:rsidR="00EB5012" w:rsidRDefault="00EB5012" w:rsidP="00EB5012">
      <w:pPr>
        <w:pStyle w:val="ad"/>
        <w:spacing w:after="120" w:line="360" w:lineRule="auto"/>
        <w:ind w:left="360"/>
        <w:jc w:val="both"/>
        <w:rPr>
          <w:rFonts w:cs="David"/>
          <w:sz w:val="24"/>
          <w:szCs w:val="24"/>
        </w:rPr>
      </w:pPr>
    </w:p>
    <w:p w:rsidR="00EB5012" w:rsidRDefault="00EB5012" w:rsidP="00EB5012">
      <w:pPr>
        <w:pStyle w:val="ad"/>
        <w:numPr>
          <w:ilvl w:val="0"/>
          <w:numId w:val="2"/>
        </w:numPr>
        <w:spacing w:after="120" w:line="360" w:lineRule="auto"/>
        <w:jc w:val="both"/>
        <w:rPr>
          <w:rFonts w:cs="David"/>
          <w:sz w:val="24"/>
          <w:szCs w:val="24"/>
        </w:rPr>
      </w:pPr>
      <w:r>
        <w:rPr>
          <w:rFonts w:cs="David"/>
          <w:b/>
          <w:bCs/>
          <w:sz w:val="24"/>
          <w:szCs w:val="24"/>
          <w:rtl/>
        </w:rPr>
        <w:t>האם גם משיבים 2-14 הינם בגדר "מפרסם"</w:t>
      </w:r>
      <w:r>
        <w:rPr>
          <w:rFonts w:cs="David"/>
          <w:sz w:val="24"/>
          <w:szCs w:val="24"/>
          <w:rtl/>
        </w:rPr>
        <w:t xml:space="preserve">? </w:t>
      </w:r>
    </w:p>
    <w:p w:rsidR="00EB5012" w:rsidRDefault="00EB5012" w:rsidP="00EB5012">
      <w:pPr>
        <w:pStyle w:val="ad"/>
        <w:rPr>
          <w:rFonts w:cs="David"/>
          <w:sz w:val="24"/>
          <w:szCs w:val="24"/>
        </w:rPr>
      </w:pPr>
    </w:p>
    <w:p w:rsidR="00EB5012" w:rsidRDefault="00EB5012" w:rsidP="00EB5012">
      <w:pPr>
        <w:pStyle w:val="ad"/>
        <w:spacing w:after="120" w:line="360" w:lineRule="auto"/>
        <w:ind w:left="360"/>
        <w:jc w:val="both"/>
        <w:rPr>
          <w:rFonts w:cs="David"/>
          <w:sz w:val="24"/>
          <w:szCs w:val="24"/>
          <w:rtl/>
        </w:rPr>
      </w:pPr>
      <w:r>
        <w:rPr>
          <w:rFonts w:cs="David"/>
          <w:sz w:val="24"/>
          <w:szCs w:val="24"/>
          <w:rtl/>
        </w:rPr>
        <w:t xml:space="preserve">טוען המבקש כי גם המשיבים הן "מפרסם" באשר המועדון הוא עסקם כשם שהוא עסקה של המשיבה 1.  המבקש הפנה לפסקי דין שונים וביניהם ת"צ (מחוזי ת"א) 39525-03-15‏ ‏ </w:t>
      </w:r>
      <w:r>
        <w:rPr>
          <w:rFonts w:cs="David"/>
          <w:b/>
          <w:bCs/>
          <w:sz w:val="24"/>
          <w:szCs w:val="24"/>
          <w:rtl/>
        </w:rPr>
        <w:t>עמרם נ' די.ג'י.אי מדיה בע"מ</w:t>
      </w:r>
      <w:r>
        <w:rPr>
          <w:rFonts w:cs="David"/>
          <w:sz w:val="24"/>
          <w:szCs w:val="24"/>
          <w:rtl/>
        </w:rPr>
        <w:t xml:space="preserve"> (9.5.18) וכן לת"צ (מחוזי חי') 44664-03-15‏ ‏</w:t>
      </w:r>
      <w:r>
        <w:rPr>
          <w:rFonts w:cs="David"/>
          <w:b/>
          <w:bCs/>
          <w:sz w:val="24"/>
          <w:szCs w:val="24"/>
          <w:rtl/>
        </w:rPr>
        <w:t>זילברג נ' ‏</w:t>
      </w:r>
      <w:r>
        <w:rPr>
          <w:rFonts w:cs="David"/>
          <w:b/>
          <w:bCs/>
          <w:sz w:val="24"/>
          <w:szCs w:val="24"/>
        </w:rPr>
        <w:t>Mega Advanced Mathematical System Ltd</w:t>
      </w:r>
      <w:r>
        <w:rPr>
          <w:rFonts w:cs="David"/>
          <w:sz w:val="24"/>
          <w:szCs w:val="24"/>
          <w:rtl/>
        </w:rPr>
        <w:t xml:space="preserve"> (19.1.23); להלן – עניין </w:t>
      </w:r>
      <w:r w:rsidRPr="008606A0">
        <w:rPr>
          <w:rFonts w:ascii="David" w:hAnsi="David" w:cs="David"/>
          <w:b/>
          <w:bCs/>
          <w:sz w:val="24"/>
          <w:szCs w:val="24"/>
        </w:rPr>
        <w:t>MEGA</w:t>
      </w:r>
      <w:r w:rsidRPr="008606A0">
        <w:rPr>
          <w:rFonts w:ascii="David" w:hAnsi="David" w:cs="David"/>
          <w:sz w:val="24"/>
          <w:szCs w:val="24"/>
          <w:rtl/>
        </w:rPr>
        <w:t>).</w:t>
      </w: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lastRenderedPageBreak/>
        <w:t xml:space="preserve">דעתי איננה כדעת המבקש. </w:t>
      </w:r>
    </w:p>
    <w:p w:rsidR="00EB5012" w:rsidRDefault="00EB5012" w:rsidP="00EB5012">
      <w:pPr>
        <w:pStyle w:val="ad"/>
        <w:spacing w:after="120" w:line="360" w:lineRule="auto"/>
        <w:ind w:left="360"/>
        <w:jc w:val="both"/>
        <w:rPr>
          <w:rFonts w:cs="David"/>
          <w:sz w:val="24"/>
          <w:szCs w:val="24"/>
        </w:rPr>
      </w:pPr>
    </w:p>
    <w:p w:rsidR="00EB5012" w:rsidRDefault="00EB5012" w:rsidP="00EB5012">
      <w:pPr>
        <w:pStyle w:val="ad"/>
        <w:numPr>
          <w:ilvl w:val="0"/>
          <w:numId w:val="2"/>
        </w:numPr>
        <w:spacing w:after="120" w:line="360" w:lineRule="auto"/>
        <w:jc w:val="both"/>
        <w:rPr>
          <w:rFonts w:ascii="David" w:hAnsi="David" w:cs="David"/>
          <w:b/>
          <w:bCs/>
          <w:sz w:val="24"/>
          <w:szCs w:val="24"/>
        </w:rPr>
      </w:pPr>
      <w:r>
        <w:rPr>
          <w:rFonts w:ascii="David" w:hAnsi="David" w:cs="David"/>
          <w:sz w:val="24"/>
          <w:szCs w:val="24"/>
          <w:rtl/>
        </w:rPr>
        <w:t xml:space="preserve">בהודעות נכלל שם המועדון שהינו עסק </w:t>
      </w:r>
      <w:r>
        <w:rPr>
          <w:rFonts w:ascii="David" w:hAnsi="David" w:cs="David"/>
          <w:b/>
          <w:bCs/>
          <w:sz w:val="24"/>
          <w:szCs w:val="24"/>
          <w:rtl/>
        </w:rPr>
        <w:t>שבבעלות משיבה 1 ולא בבעלות משיבים 2-14</w:t>
      </w:r>
      <w:r>
        <w:rPr>
          <w:rFonts w:ascii="David" w:hAnsi="David" w:cs="David"/>
          <w:sz w:val="24"/>
          <w:szCs w:val="24"/>
          <w:rtl/>
        </w:rPr>
        <w:t xml:space="preserve">. אף כתובתם לא צוינה בהודעות אלא מיקום המועדון, בנמל תל אביב. טענת המבקש כי ההודעות עשויות לפרסם או לקדם את עסקי המשיבים 2-14 גם היא לא מקובלת עליי. </w:t>
      </w:r>
    </w:p>
    <w:p w:rsidR="00EB5012" w:rsidRDefault="00EB5012" w:rsidP="00EB5012">
      <w:pPr>
        <w:pStyle w:val="ad"/>
        <w:rPr>
          <w:rFonts w:ascii="David" w:hAnsi="David" w:cs="David"/>
          <w:sz w:val="24"/>
          <w:szCs w:val="24"/>
        </w:rPr>
      </w:pPr>
    </w:p>
    <w:p w:rsidR="00EB5012" w:rsidRDefault="00EB5012" w:rsidP="00EB5012">
      <w:pPr>
        <w:pStyle w:val="ad"/>
        <w:spacing w:after="120" w:line="360" w:lineRule="auto"/>
        <w:ind w:left="360"/>
        <w:jc w:val="both"/>
        <w:rPr>
          <w:rFonts w:ascii="David" w:hAnsi="David" w:cs="David"/>
          <w:b/>
          <w:bCs/>
          <w:sz w:val="24"/>
          <w:szCs w:val="24"/>
          <w:rtl/>
        </w:rPr>
      </w:pPr>
      <w:r>
        <w:rPr>
          <w:rFonts w:ascii="David" w:hAnsi="David" w:cs="David"/>
          <w:sz w:val="24"/>
          <w:szCs w:val="24"/>
          <w:rtl/>
        </w:rPr>
        <w:t xml:space="preserve">המשיבה 1 כחברה בע"מ היא זו שהתקשרה בהסכם עם המפיקים. בבקשת האישור לא נטען אחרת ולא נטענה עילת חיוב אישי מכוח הרמת מסך. </w:t>
      </w:r>
    </w:p>
    <w:p w:rsidR="00EB5012" w:rsidRDefault="00EB5012" w:rsidP="00EB5012">
      <w:pPr>
        <w:pStyle w:val="ad"/>
        <w:spacing w:after="120" w:line="360" w:lineRule="auto"/>
        <w:ind w:left="360"/>
        <w:jc w:val="both"/>
        <w:rPr>
          <w:rFonts w:ascii="David" w:hAnsi="David" w:cs="David"/>
          <w:b/>
          <w:bCs/>
          <w:sz w:val="24"/>
          <w:szCs w:val="24"/>
        </w:rPr>
      </w:pPr>
    </w:p>
    <w:p w:rsidR="00EB5012" w:rsidRDefault="00EB5012" w:rsidP="00EB5012">
      <w:pPr>
        <w:pStyle w:val="ad"/>
        <w:spacing w:after="120" w:line="360" w:lineRule="auto"/>
        <w:ind w:left="360"/>
        <w:jc w:val="both"/>
        <w:rPr>
          <w:rFonts w:ascii="David" w:hAnsi="David" w:cs="David"/>
          <w:sz w:val="24"/>
          <w:szCs w:val="24"/>
        </w:rPr>
      </w:pPr>
      <w:r>
        <w:rPr>
          <w:rFonts w:ascii="David" w:hAnsi="David" w:cs="David"/>
          <w:sz w:val="24"/>
          <w:szCs w:val="24"/>
          <w:rtl/>
        </w:rPr>
        <w:t xml:space="preserve">העובדה כי חלק מהמשיבים 2-14 הינם בעלי מניות במשיבה 2, וחלקם דירקטורים במשיבה 1 או במשיבה 2 (ראו פרק ב' לתשובה ונסח רשם החברות נספח א' לבקשה), אין פירושה כי המועדון שייך להם באופן אישי. שאם תאמר אחרת, </w:t>
      </w:r>
      <w:r>
        <w:rPr>
          <w:rFonts w:ascii="David" w:hAnsi="David" w:cs="David"/>
          <w:b/>
          <w:bCs/>
          <w:sz w:val="24"/>
          <w:szCs w:val="24"/>
          <w:rtl/>
        </w:rPr>
        <w:t>הרי שהתוצאה תהא הרמת מסך "אוטומטית" והתעלמות מעקרון האישיות המשפטית הנפרדת של תאגיד בע"מ</w:t>
      </w:r>
      <w:r>
        <w:rPr>
          <w:rFonts w:ascii="David" w:hAnsi="David" w:cs="David"/>
          <w:sz w:val="24"/>
          <w:szCs w:val="24"/>
          <w:rtl/>
        </w:rPr>
        <w:t xml:space="preserve">. </w:t>
      </w:r>
    </w:p>
    <w:p w:rsidR="00EB5012" w:rsidRDefault="00EB5012" w:rsidP="00EB5012">
      <w:pPr>
        <w:pStyle w:val="ad"/>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אציין כי המשיבים 4, 8 ו-11-12 כלל אינם נושאי מישרה או בעלי מניות במשיבה 1 אלא אך בעלי מניות במשיבה 2 (ראו סעיף 17.6 לתשובה ונסח רשם החברות) וממילא כלפיהם אין עילת תביעה ולו קלושה.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בהקשר לכך נקבע, ובכל הכבוד, הדברים מקובלים עליי: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"סעיף 30א(א) לחוק התקשורת מגדיר "מפרסם" גם כ"מי שתוכנו של דבר הפרסומת עשוי לפרסם את עסקיו או לקדם את מטרותיו, או מי שמשווק דבר פרסומת בעבור אחר". </w:t>
      </w:r>
      <w:r w:rsidRPr="004011FF">
        <w:rPr>
          <w:rFonts w:ascii="David" w:hAnsi="David" w:cs="David"/>
          <w:b/>
          <w:bCs/>
          <w:sz w:val="24"/>
          <w:szCs w:val="24"/>
          <w:rtl/>
        </w:rPr>
        <w:t>אינני</w:t>
      </w:r>
      <w:r>
        <w:rPr>
          <w:rFonts w:ascii="David" w:hAnsi="David" w:cs="David"/>
          <w:sz w:val="24"/>
          <w:szCs w:val="24"/>
          <w:rtl/>
        </w:rPr>
        <w:t xml:space="preserve"> </w:t>
      </w:r>
      <w:r>
        <w:rPr>
          <w:rFonts w:ascii="David" w:hAnsi="David" w:cs="David"/>
          <w:b/>
          <w:bCs/>
          <w:sz w:val="24"/>
          <w:szCs w:val="24"/>
          <w:rtl/>
        </w:rPr>
        <w:t>מקבלת את טענת המבקשים לפיה חלופה זו בהגדרה כוללת גם את מנהלי ובעלי החברה המפרסמת או החברה שפרסום נעשה באמצעותה. בהעדר עילה להרמת מסך, המדובר בסעיף זה בתאגידים עצמם ולא במנהליהם</w:t>
      </w:r>
      <w:r>
        <w:rPr>
          <w:rFonts w:ascii="David" w:hAnsi="David" w:cs="David"/>
          <w:sz w:val="24"/>
          <w:szCs w:val="24"/>
          <w:rtl/>
        </w:rPr>
        <w:t xml:space="preserve">...” </w:t>
      </w:r>
    </w:p>
    <w:p w:rsidR="00EB5012" w:rsidRDefault="00EB5012" w:rsidP="00EB5012">
      <w:pPr>
        <w:pStyle w:val="ad"/>
        <w:spacing w:line="360" w:lineRule="auto"/>
        <w:ind w:left="651" w:right="567"/>
        <w:jc w:val="both"/>
        <w:rPr>
          <w:rFonts w:ascii="David" w:hAnsi="David" w:cs="David"/>
          <w:sz w:val="24"/>
          <w:szCs w:val="24"/>
        </w:rPr>
      </w:pPr>
      <w:r>
        <w:rPr>
          <w:rFonts w:ascii="David" w:hAnsi="David" w:cs="David"/>
          <w:sz w:val="24"/>
          <w:szCs w:val="24"/>
          <w:rtl/>
        </w:rPr>
        <w:t xml:space="preserve">(ת"א (מחוזי ת"א) 1586/09  </w:t>
      </w:r>
      <w:r>
        <w:rPr>
          <w:rFonts w:ascii="David" w:hAnsi="David" w:cs="David"/>
          <w:b/>
          <w:bCs/>
          <w:sz w:val="24"/>
          <w:szCs w:val="24"/>
          <w:rtl/>
        </w:rPr>
        <w:t>חיות נ' טלרן מסרים מיידים בע"מ</w:t>
      </w:r>
      <w:r>
        <w:rPr>
          <w:rFonts w:ascii="David" w:hAnsi="David" w:cs="David"/>
          <w:sz w:val="24"/>
          <w:szCs w:val="24"/>
          <w:rtl/>
        </w:rPr>
        <w:t xml:space="preserve">, פסקה 3 (5.4.11); ההדגשה איננה במקור; להלן – עניין </w:t>
      </w:r>
      <w:r>
        <w:rPr>
          <w:rFonts w:ascii="David" w:hAnsi="David" w:cs="David"/>
          <w:b/>
          <w:bCs/>
          <w:sz w:val="24"/>
          <w:szCs w:val="24"/>
          <w:rtl/>
        </w:rPr>
        <w:t>חיות</w:t>
      </w:r>
      <w:r>
        <w:rPr>
          <w:rFonts w:ascii="David" w:hAnsi="David" w:cs="David"/>
          <w:sz w:val="24"/>
          <w:szCs w:val="24"/>
          <w:rtl/>
        </w:rPr>
        <w:t>).</w:t>
      </w:r>
    </w:p>
    <w:p w:rsidR="00EB5012" w:rsidRDefault="00EB5012" w:rsidP="00EB5012">
      <w:pPr>
        <w:pStyle w:val="ad"/>
        <w:spacing w:after="120" w:line="360" w:lineRule="auto"/>
        <w:ind w:left="360" w:firstLine="291"/>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ובהמשך נקבע בעניין </w:t>
      </w:r>
      <w:r>
        <w:rPr>
          <w:rFonts w:ascii="David" w:hAnsi="David" w:cs="David"/>
          <w:b/>
          <w:bCs/>
          <w:sz w:val="24"/>
          <w:szCs w:val="24"/>
          <w:rtl/>
        </w:rPr>
        <w:t>חיות</w:t>
      </w:r>
      <w:r>
        <w:rPr>
          <w:rFonts w:ascii="David" w:hAnsi="David" w:cs="David"/>
          <w:sz w:val="24"/>
          <w:szCs w:val="24"/>
          <w:rtl/>
        </w:rPr>
        <w:t>:</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6F25F5">
      <w:pPr>
        <w:pStyle w:val="ad"/>
        <w:spacing w:line="360" w:lineRule="auto"/>
        <w:ind w:left="651" w:right="567"/>
        <w:jc w:val="both"/>
        <w:rPr>
          <w:rFonts w:ascii="David" w:hAnsi="David" w:cs="David"/>
          <w:sz w:val="24"/>
          <w:szCs w:val="24"/>
          <w:rtl/>
        </w:rPr>
      </w:pPr>
      <w:r>
        <w:rPr>
          <w:rFonts w:ascii="David" w:hAnsi="David" w:cs="David"/>
          <w:sz w:val="24"/>
          <w:szCs w:val="24"/>
          <w:rtl/>
        </w:rPr>
        <w:t xml:space="preserve">"גם העובדה שהוראת החוק הרלוונטית מטילה במפורש אחריות פלילית על מנהלים ונושאי משרה בתאגיד שאחראים לתחומי השיווק, מלמדת על העדר כוונה להטיל על </w:t>
      </w:r>
      <w:r>
        <w:rPr>
          <w:rFonts w:ascii="David" w:hAnsi="David" w:cs="David"/>
          <w:sz w:val="24"/>
          <w:szCs w:val="24"/>
          <w:rtl/>
        </w:rPr>
        <w:lastRenderedPageBreak/>
        <w:t>המנהלים אחריות כללית לפרסום האסור, מעבר לזו שנקבעה במפורש</w:t>
      </w:r>
      <w:r w:rsidR="006F25F5">
        <w:rPr>
          <w:rFonts w:ascii="David" w:hAnsi="David" w:cs="David" w:hint="cs"/>
          <w:sz w:val="24"/>
          <w:szCs w:val="24"/>
          <w:rtl/>
        </w:rPr>
        <w:t xml:space="preserve"> בסעיף 30א(ח)". </w:t>
      </w:r>
      <w:r>
        <w:rPr>
          <w:rFonts w:ascii="David" w:hAnsi="David" w:cs="David" w:hint="cs"/>
          <w:sz w:val="24"/>
          <w:szCs w:val="24"/>
          <w:rtl/>
        </w:rPr>
        <w:t xml:space="preserve">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אשר לעניין </w:t>
      </w:r>
      <w:r>
        <w:rPr>
          <w:rFonts w:ascii="David" w:hAnsi="David" w:cs="David"/>
          <w:b/>
          <w:bCs/>
          <w:sz w:val="24"/>
          <w:szCs w:val="24"/>
        </w:rPr>
        <w:t>MEGA</w:t>
      </w:r>
      <w:r>
        <w:rPr>
          <w:rFonts w:ascii="David" w:hAnsi="David" w:cs="David"/>
          <w:sz w:val="24"/>
          <w:szCs w:val="24"/>
          <w:rtl/>
        </w:rPr>
        <w:t>, הרי שבפסק דין זה לא נקבע כי נושאי מישרה בתאגיד ששלח את הודעות הפרסומת הינם "מפרסם". מכל מקום ובכל הכבוד</w:t>
      </w:r>
      <w:r w:rsidR="00BF725C">
        <w:rPr>
          <w:rFonts w:ascii="David" w:hAnsi="David" w:cs="David" w:hint="cs"/>
          <w:sz w:val="24"/>
          <w:szCs w:val="24"/>
          <w:rtl/>
        </w:rPr>
        <w:t>,</w:t>
      </w:r>
      <w:r>
        <w:rPr>
          <w:rFonts w:ascii="David" w:hAnsi="David" w:cs="David"/>
          <w:sz w:val="24"/>
          <w:szCs w:val="24"/>
          <w:rtl/>
        </w:rPr>
        <w:t xml:space="preserve"> הנני מעדיף </w:t>
      </w:r>
      <w:r w:rsidR="00BF725C">
        <w:rPr>
          <w:rFonts w:ascii="David" w:hAnsi="David" w:cs="David" w:hint="cs"/>
          <w:sz w:val="24"/>
          <w:szCs w:val="24"/>
          <w:rtl/>
        </w:rPr>
        <w:t xml:space="preserve">את </w:t>
      </w:r>
      <w:r>
        <w:rPr>
          <w:rFonts w:ascii="David" w:hAnsi="David" w:cs="David"/>
          <w:sz w:val="24"/>
          <w:szCs w:val="24"/>
          <w:rtl/>
        </w:rPr>
        <w:t xml:space="preserve">אשר נקבע בעניין </w:t>
      </w:r>
      <w:r>
        <w:rPr>
          <w:rFonts w:ascii="David" w:hAnsi="David" w:cs="David"/>
          <w:b/>
          <w:bCs/>
          <w:sz w:val="24"/>
          <w:szCs w:val="24"/>
          <w:rtl/>
        </w:rPr>
        <w:t xml:space="preserve">חיות.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זאת ועוד, כאמור, כלי התובענה הייצוגית הינו כלי רב עוצמה, נשק בלתי קונבנציונלי. בשל כך יש לטפל בתובענה הייצוגית בזהירות יתרה משל הייתה רימון</w:t>
      </w:r>
      <w:r>
        <w:rPr>
          <w:rFonts w:ascii="David" w:hAnsi="David" w:cs="David"/>
          <w:sz w:val="24"/>
          <w:szCs w:val="24"/>
        </w:rPr>
        <w:t>-</w:t>
      </w:r>
      <w:r>
        <w:rPr>
          <w:rFonts w:ascii="David" w:hAnsi="David" w:cs="David"/>
          <w:sz w:val="24"/>
          <w:szCs w:val="24"/>
          <w:rtl/>
        </w:rPr>
        <w:t xml:space="preserve">יד שנצרתו נשלפה מגופו. יש להשגיח שלא נניח לתובענה הייצוגית כי תשפיע עלינו למעלה מן המידה הראויה לעת שנדרשים אנו לפירושה ולקביעת תחום פרישתה של התביעה האישית (ענין </w:t>
      </w:r>
      <w:r>
        <w:rPr>
          <w:rFonts w:ascii="David" w:hAnsi="David" w:cs="David"/>
          <w:b/>
          <w:bCs/>
          <w:sz w:val="24"/>
          <w:szCs w:val="24"/>
          <w:rtl/>
        </w:rPr>
        <w:t>ברזני</w:t>
      </w:r>
      <w:r>
        <w:rPr>
          <w:rFonts w:ascii="David" w:hAnsi="David" w:cs="David"/>
          <w:sz w:val="24"/>
          <w:szCs w:val="24"/>
          <w:rtl/>
        </w:rPr>
        <w:t xml:space="preserve">). זהירות זו מחייבת פרשנות זהירה ומדודה של הדין – ובהקשר זה חוק התקשורת, באופן שלא יורחב יתר על המידה על נושאי מישרה או בעלי מניות, ללא הוראה ברורה בו.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ועוד, נתתי דעתי לכך שהוטלה על מנהלי תאגיד אחריות פלילית בהקשר לכך, כאמור בסעיף 30א(ח) לחוק התקשורת: </w:t>
      </w:r>
    </w:p>
    <w:p w:rsidR="00EB5012" w:rsidRDefault="00EB5012" w:rsidP="00EB5012">
      <w:pPr>
        <w:pStyle w:val="ad"/>
        <w:spacing w:after="120" w:line="360" w:lineRule="auto"/>
        <w:ind w:left="360"/>
        <w:jc w:val="both"/>
        <w:rPr>
          <w:rFonts w:ascii="David" w:hAnsi="David" w:cs="David"/>
          <w:sz w:val="24"/>
          <w:szCs w:val="24"/>
          <w:rtl/>
        </w:rPr>
      </w:pPr>
    </w:p>
    <w:p w:rsidR="00EB5012" w:rsidRPr="001225E3" w:rsidRDefault="00EB5012" w:rsidP="001225E3">
      <w:pPr>
        <w:pStyle w:val="ad"/>
        <w:spacing w:line="360" w:lineRule="auto"/>
        <w:ind w:left="651" w:right="567"/>
        <w:jc w:val="both"/>
        <w:rPr>
          <w:rFonts w:cs="David"/>
          <w:sz w:val="24"/>
          <w:szCs w:val="24"/>
          <w:rtl/>
        </w:rPr>
      </w:pPr>
      <w:r w:rsidRPr="001225E3">
        <w:rPr>
          <w:rFonts w:cs="David"/>
          <w:sz w:val="24"/>
          <w:szCs w:val="24"/>
          <w:rtl/>
        </w:rPr>
        <w:t>"מנהל של תאגיד וכן מי שאחראי לתחומי השיווק או הפרסום בתאגיד (בסעיף זה – נושא משרה בתאגיד) חייב לפקח ולעשות כל שניתן למניעת עבירה לפי סעיף קטן (ו) בידי התאגיד או בידי עובד מעובדיו; המפר הוראה זו, דינו – קנס כאמור בסעיף 61(א)(3) לחוק העונשין; נעברה עבירה בידי התאגיד או בידי עובד מעובדיו, חזקה היא כי נושא משרה בתאגיד הפר את חובתו לפי סעיף קטן זה, אלא אם כן עשה כל שניתן כדי למלא את חובתו</w:t>
      </w:r>
      <w:r w:rsidRPr="001225E3">
        <w:rPr>
          <w:rFonts w:cs="David"/>
          <w:sz w:val="24"/>
          <w:szCs w:val="24"/>
        </w:rPr>
        <w:t>.</w:t>
      </w:r>
      <w:r w:rsidRPr="001225E3">
        <w:rPr>
          <w:rFonts w:cs="David"/>
          <w:sz w:val="24"/>
          <w:szCs w:val="24"/>
          <w:rtl/>
        </w:rPr>
        <w:t>"</w:t>
      </w:r>
    </w:p>
    <w:p w:rsidR="001225E3" w:rsidRDefault="001225E3"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ודוק: הוראה זו </w:t>
      </w:r>
      <w:r>
        <w:rPr>
          <w:rFonts w:ascii="David" w:hAnsi="David" w:cs="David"/>
          <w:b/>
          <w:bCs/>
          <w:sz w:val="24"/>
          <w:szCs w:val="24"/>
          <w:rtl/>
        </w:rPr>
        <w:t>איננה מטילה</w:t>
      </w:r>
      <w:r>
        <w:rPr>
          <w:rFonts w:ascii="David" w:hAnsi="David" w:cs="David"/>
          <w:sz w:val="24"/>
          <w:szCs w:val="24"/>
          <w:rtl/>
        </w:rPr>
        <w:t xml:space="preserve"> את האחריות לנזק שנגרם למקבל הודעות הפרסומת על מנהל התאגיד, אלא מאפשרת הטלת קנס של עד 75,300 ₪ אם לא עמד בהוראות הסעיף האמור. יתר על כן, הוראת חוק זו כלל אינה חלה על בעלי מניות בתאגיד.  </w:t>
      </w:r>
    </w:p>
    <w:p w:rsidR="00EB5012" w:rsidRDefault="00EB5012" w:rsidP="00EB5012">
      <w:pPr>
        <w:pStyle w:val="ad"/>
        <w:spacing w:after="120" w:line="360" w:lineRule="auto"/>
        <w:ind w:left="360"/>
        <w:jc w:val="both"/>
        <w:rPr>
          <w:rFonts w:cs="David"/>
          <w:sz w:val="24"/>
          <w:szCs w:val="24"/>
          <w:rtl/>
        </w:rPr>
      </w:pPr>
    </w:p>
    <w:p w:rsidR="00EB5012" w:rsidRDefault="00EB5012" w:rsidP="00EB5012">
      <w:pPr>
        <w:spacing w:after="160" w:line="360" w:lineRule="auto"/>
        <w:jc w:val="both"/>
        <w:rPr>
          <w:rFonts w:ascii="David" w:hAnsi="David"/>
          <w:sz w:val="28"/>
          <w:szCs w:val="28"/>
          <w:rtl/>
        </w:rPr>
      </w:pPr>
      <w:r>
        <w:rPr>
          <w:rFonts w:ascii="David" w:hAnsi="David"/>
          <w:b/>
          <w:bCs/>
          <w:sz w:val="26"/>
          <w:szCs w:val="26"/>
          <w:rtl/>
        </w:rPr>
        <w:t>ה</w:t>
      </w:r>
      <w:r>
        <w:rPr>
          <w:rFonts w:ascii="David" w:hAnsi="David"/>
          <w:b/>
          <w:bCs/>
          <w:sz w:val="28"/>
          <w:szCs w:val="28"/>
          <w:rtl/>
        </w:rPr>
        <w:t xml:space="preserve">. </w:t>
      </w:r>
      <w:r>
        <w:rPr>
          <w:rFonts w:ascii="David" w:hAnsi="David"/>
          <w:b/>
          <w:bCs/>
          <w:sz w:val="28"/>
          <w:szCs w:val="28"/>
          <w:u w:val="single"/>
          <w:rtl/>
        </w:rPr>
        <w:t>האם המשיבים "שיגרו" את ההודעות למבקש</w:t>
      </w:r>
      <w:r>
        <w:rPr>
          <w:rFonts w:ascii="David" w:hAnsi="David"/>
          <w:sz w:val="28"/>
          <w:szCs w:val="28"/>
          <w:rtl/>
        </w:rPr>
        <w:t>?</w:t>
      </w:r>
    </w:p>
    <w:p w:rsidR="00EB5012" w:rsidRDefault="00EB5012" w:rsidP="00EB5012">
      <w:pPr>
        <w:pStyle w:val="ad"/>
        <w:rPr>
          <w:rFonts w:cs="David"/>
          <w:sz w:val="24"/>
          <w:szCs w:val="24"/>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 xml:space="preserve">הפעולה האסורה על "מפרסם" לפי סעיף 30א(ב) לחוק התקשורת, היא "שיגור" של דבר פרסומת ללא הסכמה. </w:t>
      </w:r>
    </w:p>
    <w:p w:rsidR="00EB5012" w:rsidRDefault="00EB5012" w:rsidP="00EB5012">
      <w:pPr>
        <w:pStyle w:val="ad"/>
        <w:spacing w:after="120" w:line="360" w:lineRule="auto"/>
        <w:ind w:left="360"/>
        <w:jc w:val="both"/>
        <w:rPr>
          <w:rFonts w:cs="David"/>
          <w:sz w:val="24"/>
          <w:szCs w:val="24"/>
          <w:rtl/>
        </w:rPr>
      </w:pPr>
      <w:r>
        <w:rPr>
          <w:rFonts w:cs="David"/>
          <w:sz w:val="24"/>
          <w:szCs w:val="24"/>
          <w:rtl/>
        </w:rPr>
        <w:lastRenderedPageBreak/>
        <w:t>ברע"א 1326/18</w:t>
      </w:r>
      <w:r>
        <w:rPr>
          <w:rFonts w:cs="David"/>
          <w:b/>
          <w:bCs/>
          <w:sz w:val="24"/>
          <w:szCs w:val="24"/>
          <w:rtl/>
        </w:rPr>
        <w:t xml:space="preserve"> סמארט קלאב אחזקות בע"מ נ' כהן</w:t>
      </w:r>
      <w:r>
        <w:rPr>
          <w:rFonts w:cs="David"/>
          <w:sz w:val="24"/>
          <w:szCs w:val="24"/>
          <w:rtl/>
        </w:rPr>
        <w:t xml:space="preserve"> (31.12.20) (להלן – עניין </w:t>
      </w:r>
      <w:r>
        <w:rPr>
          <w:rFonts w:cs="David"/>
          <w:b/>
          <w:bCs/>
          <w:sz w:val="24"/>
          <w:szCs w:val="24"/>
          <w:rtl/>
        </w:rPr>
        <w:t>סמארט קלאב</w:t>
      </w:r>
      <w:r>
        <w:rPr>
          <w:rFonts w:cs="David"/>
          <w:sz w:val="24"/>
          <w:szCs w:val="24"/>
          <w:rtl/>
        </w:rPr>
        <w:t xml:space="preserve">) נקבע כי הנחת המוצא הינה שהודעת פרסום המפרסמת את עסקי גורם מסוים שוגרה על ידי אותו גורם וככל שהוא טוען שלא שוגרו על ידו, </w:t>
      </w:r>
      <w:r>
        <w:rPr>
          <w:rFonts w:cs="David"/>
          <w:b/>
          <w:bCs/>
          <w:sz w:val="24"/>
          <w:szCs w:val="24"/>
          <w:rtl/>
        </w:rPr>
        <w:t>עליו נטל הראיה</w:t>
      </w:r>
      <w:r>
        <w:rPr>
          <w:rFonts w:cs="David"/>
          <w:sz w:val="24"/>
          <w:szCs w:val="24"/>
          <w:rtl/>
        </w:rPr>
        <w:t xml:space="preserve"> (סעיף 11). </w:t>
      </w:r>
    </w:p>
    <w:p w:rsidR="00EB5012" w:rsidRDefault="00EB5012" w:rsidP="00EB5012">
      <w:pPr>
        <w:pStyle w:val="ad"/>
        <w:rPr>
          <w:rFonts w:cs="David"/>
          <w:sz w:val="24"/>
          <w:szCs w:val="24"/>
        </w:rPr>
      </w:pPr>
    </w:p>
    <w:p w:rsidR="00EB5012" w:rsidRDefault="00EB5012" w:rsidP="00EB5012">
      <w:pPr>
        <w:pStyle w:val="ad"/>
        <w:numPr>
          <w:ilvl w:val="0"/>
          <w:numId w:val="2"/>
        </w:numPr>
        <w:spacing w:after="120" w:line="360" w:lineRule="auto"/>
        <w:jc w:val="both"/>
        <w:rPr>
          <w:rFonts w:cs="David"/>
          <w:sz w:val="24"/>
          <w:szCs w:val="24"/>
          <w:rtl/>
        </w:rPr>
      </w:pPr>
      <w:r>
        <w:rPr>
          <w:rFonts w:cs="David"/>
          <w:sz w:val="24"/>
          <w:szCs w:val="24"/>
          <w:rtl/>
        </w:rPr>
        <w:t xml:space="preserve">לא שוכנעתי כי עלה בידי המשיבים להוכיח כי המשיבה 1 לא שיגרה את ההודעות למבקש. </w:t>
      </w:r>
    </w:p>
    <w:p w:rsidR="00EB5012" w:rsidRDefault="00EB5012" w:rsidP="00EB5012">
      <w:pPr>
        <w:spacing w:after="120" w:line="360" w:lineRule="auto"/>
        <w:ind w:left="360"/>
        <w:jc w:val="both"/>
        <w:rPr>
          <w:rFonts w:ascii="David" w:hAnsi="David"/>
        </w:rPr>
      </w:pPr>
      <w:r>
        <w:rPr>
          <w:rFonts w:ascii="David" w:hAnsi="David"/>
          <w:rtl/>
        </w:rPr>
        <w:t xml:space="preserve">מר אלרם נשאל האם פיקח על קיום הישיבות השבועיות בהתאם להסכם והשיב בצורה מתחמקת (עמ' 56 לפרוטוקול). כן נשאל אם המשיבים פיקחו על כך שהמפיקים יהיו נוכחים במסיבות והשיב כי מה שענין אותו היה שיקבל את המגיע לו, כנראה מבחינת הכנסות (עמ' 57 לפרוטוקול, ש' 19). עוד נשאל כיצד פיקח על קיום ההסכם מבחינת האיסור לשלוח הודעות פרסומת ללא הסכמה והשיב שאינו יכול לשבת ליד המפיקים כל העת (עמ' 58 לפרוטוקול, ש' 32-34). כן העיד שלא העיר למפיקים על משלוח הודעות פרסומת בלא ציון שם המפרסם ופרטיו (עמ' 61 לפרוטוקול, ש' 6).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אמנם, בהסכם נקבעו מספר סעיפים המלמדים כי המשיבים לא התכוונו לעסוק ישירות בפרסום "ליין המסיבות" מושא ההודעות ואף אסרו על המשיבים לפעול בניגוד לחוק התקשורת (סעיף 1; סעיף 8; סעיף 11; סעיף 13), אך בכך לא סגי.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כמפורט להלן, המפיקים הם שותפי המשיבה 1 וככאלה, השותפים נושאים שניהם באחריות האחד למעשי חברו. תשובותיו של מר אלרם שהובאו לעיל מלמדות כי המשיבה 1 לא טרחה לפקח על ביצוע האיסור הקבוע בהסכם לעבור על הוראות חוק התקשורת במהלך ביצוע ליין המסיבות. עולה הרושם כי הסתפקה בהכללת איסורים אלה בהסכם, בעיקר כדי לנסות ולהגן על עצמה מפני הליכים משפטיים בהקשר לכך.   </w:t>
      </w:r>
    </w:p>
    <w:p w:rsidR="008606A0" w:rsidRDefault="008606A0"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יתירה מכך, ההודעות נשאו את שם המועדון בלבד, ללא סימני זיהוי נוספים של שולחים אחרים. כלומר, לא זו בלבד שהמשיבה 1 לא טרחה לפקח על ביצוע הוראות ההסכם, היא אף לא טרחה לבדוק את ההודעות עצמן, כפי שאישר מר אלרם בחקירתו (עמ' 60 לפרוטוקול, ש' 12-20). לו עשתה כן, ניתן היה לצפות שכגוף הטוען לכיבוד הוראות הדין, הייתה דורשת מהמפיקים לשלוח הודעות הנושאות את שמם, בנוסף לשם המועדון, על מנת לבדל ביניהם ולשלול את אחריותה.</w:t>
      </w:r>
    </w:p>
    <w:p w:rsidR="00EB5012" w:rsidRDefault="00EB5012" w:rsidP="00EB5012">
      <w:pPr>
        <w:pStyle w:val="ad"/>
        <w:spacing w:after="120" w:line="360" w:lineRule="auto"/>
        <w:ind w:left="360"/>
        <w:jc w:val="both"/>
        <w:rPr>
          <w:rFonts w:ascii="David" w:hAnsi="David" w:cs="David"/>
          <w:sz w:val="24"/>
          <w:szCs w:val="24"/>
          <w:rtl/>
        </w:rPr>
      </w:pPr>
    </w:p>
    <w:p w:rsidR="008606A0" w:rsidRDefault="008606A0"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lastRenderedPageBreak/>
        <w:t xml:space="preserve">לכך יש להוסיף כי עדותו של מר אלרם הינה עדות יחידה של בעל דין הדרושה סיוע לפי סעיף 54 לפקודת הראיות (נוסח חדש), התשל"א - 1971. סיוע כזה ניתן היה לספק באמצעות העדת המפיקים, או למצער איש יחסי הציבור </w:t>
      </w:r>
      <w:r w:rsidRPr="008606A0">
        <w:rPr>
          <w:rFonts w:ascii="David" w:hAnsi="David" w:cs="David"/>
          <w:sz w:val="24"/>
          <w:szCs w:val="24"/>
          <w:rtl/>
        </w:rPr>
        <w:t>של המשיבה 1</w:t>
      </w:r>
      <w:r>
        <w:rPr>
          <w:rFonts w:ascii="David" w:hAnsi="David" w:cs="David"/>
          <w:sz w:val="24"/>
          <w:szCs w:val="24"/>
          <w:rtl/>
        </w:rPr>
        <w:t xml:space="preserve"> מר אליאסי, הנזכר בהסכם, אך הדבר לא נעשה, ללא כל הסבר.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המשיבים לא סיפקו הסבר מניח את הדעת לאי הבאת עדויות נוספות. ב"כ המשיבים טען כי עדותו של מר אלרם נתמכת בהסכם ובתאריך ההודעה, התואם לתאריכי ליין המסיבות הנדון ולכן לא היה צורך להעיד את המפיקים (עמ' 82 לפרוטוקול). איני מקבל טענה זו. ההסכם נוסח על ידי המשיבה 1(עמ' 51 לפרוטוקול, ש' 7-8), ואף הפרשנות שניתנה לו הובאה רק מטעמו של מר אלרם בחקירתו. בהיות שההסכם נערך על ידי המשיבה 1, אין כל עדות חיצונית לתמיכה בטענותיה למעט עדותו. לכן נמצא כי הימנעות זו פועלת לחובת המשיבים.</w:t>
      </w:r>
    </w:p>
    <w:p w:rsidR="00EB5012" w:rsidRDefault="00EB5012" w:rsidP="00EB5012">
      <w:pPr>
        <w:pStyle w:val="ad"/>
        <w:spacing w:after="120" w:line="360" w:lineRule="auto"/>
        <w:ind w:left="360"/>
        <w:jc w:val="both"/>
        <w:rPr>
          <w:rFonts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b/>
          <w:bCs/>
          <w:sz w:val="24"/>
          <w:szCs w:val="24"/>
          <w:rtl/>
        </w:rPr>
        <w:t xml:space="preserve">לפיכך נקבע כממצא עובדתי כי המשיבה 1 שלחה למבקש את ההודעות. </w:t>
      </w:r>
    </w:p>
    <w:p w:rsidR="00EB5012" w:rsidRDefault="00EB5012" w:rsidP="00EB5012">
      <w:pPr>
        <w:pStyle w:val="ad"/>
        <w:rPr>
          <w:rFonts w:ascii="David" w:hAnsi="David" w:cs="David"/>
          <w:sz w:val="24"/>
          <w:szCs w:val="24"/>
        </w:rPr>
      </w:pPr>
    </w:p>
    <w:p w:rsidR="00EB5012" w:rsidRDefault="00EB5012" w:rsidP="00EB5012">
      <w:pPr>
        <w:spacing w:after="120" w:line="360" w:lineRule="auto"/>
        <w:jc w:val="both"/>
        <w:rPr>
          <w:rFonts w:ascii="David" w:hAnsi="David"/>
          <w:b/>
          <w:bCs/>
          <w:sz w:val="28"/>
          <w:szCs w:val="28"/>
          <w:u w:val="single"/>
          <w:rtl/>
        </w:rPr>
      </w:pPr>
      <w:r>
        <w:rPr>
          <w:rFonts w:ascii="David" w:hAnsi="David"/>
          <w:b/>
          <w:bCs/>
          <w:sz w:val="28"/>
          <w:szCs w:val="28"/>
          <w:rtl/>
        </w:rPr>
        <w:t xml:space="preserve">ו. </w:t>
      </w:r>
      <w:r>
        <w:rPr>
          <w:rFonts w:ascii="David" w:hAnsi="David"/>
          <w:b/>
          <w:bCs/>
          <w:sz w:val="28"/>
          <w:szCs w:val="28"/>
          <w:u w:val="single"/>
          <w:rtl/>
        </w:rPr>
        <w:t>מהות היחסים בין המפיקים למשיבה 1</w:t>
      </w:r>
    </w:p>
    <w:p w:rsidR="00EB5012" w:rsidRDefault="00EB5012" w:rsidP="00EB5012">
      <w:pPr>
        <w:pStyle w:val="ad"/>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חרף קביעתי כי המשיבה 1 שלחה את ההודעות, ולו מפאת הזהירות שיש לנקוט בהליך של בקשת אישור, יש לבחון גם את מהות יחסי המשיבים והמפיקים. </w:t>
      </w:r>
    </w:p>
    <w:p w:rsidR="00EB5012" w:rsidRDefault="00EB5012" w:rsidP="00EB5012">
      <w:pPr>
        <w:pStyle w:val="ad"/>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המבקש טוען כי אף אם המשיבים לא שלחו את ההודעות בעצמם, הרי שהמשיבים הם שולחי המפיקים ולכן חבים במעשיהם לפי סעיף 14 לפקודת הנזיקין, או למצער כי יש יחסי עובד - מעביד בין המשיבים למפיקים שמחייבים את חבות המשיבים למעשיהם, או כי המשיבים והמפיקים הינם שותפים החבים במעשי איש של רעהו. </w:t>
      </w:r>
    </w:p>
    <w:p w:rsidR="00EB5012" w:rsidRDefault="00EB5012" w:rsidP="00EB5012">
      <w:pPr>
        <w:pStyle w:val="ad"/>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מנגד, טוענים המשיבים כי קיימים יחסי שוכר – משכיר בין המפיקים למשיבה 1, שאינם מטילים על המשכיר כל אחריות. למצער הם טוענים כי קיימים ביניהם יחסי קבלן – מזמין ולפיכך פטורים המשיבים ממעשי המפיקים נוכח הוראות סעיף 15 לפקודת הנזיקין.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סעיף 1 לפקודת השותפויות (נוסח חדש), התשל"ה - 1975 (להלן – </w:t>
      </w:r>
      <w:r>
        <w:rPr>
          <w:rFonts w:ascii="David" w:hAnsi="David" w:cs="David"/>
          <w:b/>
          <w:bCs/>
          <w:sz w:val="24"/>
          <w:szCs w:val="24"/>
          <w:rtl/>
        </w:rPr>
        <w:t>פקודת השותפויות</w:t>
      </w:r>
      <w:r>
        <w:rPr>
          <w:rFonts w:ascii="David" w:hAnsi="David" w:cs="David"/>
          <w:sz w:val="24"/>
          <w:szCs w:val="24"/>
          <w:rtl/>
        </w:rPr>
        <w:t>), מגדיר את המונח "שותפות" כ"</w:t>
      </w:r>
      <w:r w:rsidRPr="008606A0">
        <w:rPr>
          <w:rFonts w:ascii="David" w:hAnsi="David" w:cs="David"/>
          <w:sz w:val="24"/>
          <w:szCs w:val="24"/>
          <w:rtl/>
        </w:rPr>
        <w:t>חבר בני האדם שהתקשרו בקשרי שותפות</w:t>
      </w:r>
      <w:r>
        <w:rPr>
          <w:rFonts w:ascii="David" w:hAnsi="David" w:cs="David"/>
          <w:sz w:val="24"/>
          <w:szCs w:val="24"/>
          <w:rtl/>
        </w:rPr>
        <w:t>".</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המונח "קשרי שותפות" מוגדר בסעיף 1 לפקודת השותפויות כך:</w:t>
      </w:r>
    </w:p>
    <w:p w:rsidR="00EB5012" w:rsidRDefault="00EB5012" w:rsidP="001225E3">
      <w:pPr>
        <w:pStyle w:val="ad"/>
        <w:spacing w:line="360" w:lineRule="auto"/>
        <w:ind w:left="651" w:right="567"/>
        <w:jc w:val="both"/>
        <w:rPr>
          <w:rFonts w:ascii="David" w:hAnsi="David" w:cs="David"/>
          <w:sz w:val="24"/>
          <w:szCs w:val="24"/>
          <w:rtl/>
        </w:rPr>
      </w:pPr>
      <w:r w:rsidRPr="001225E3">
        <w:rPr>
          <w:rFonts w:cs="David"/>
          <w:sz w:val="24"/>
          <w:szCs w:val="24"/>
          <w:rtl/>
        </w:rPr>
        <w:lastRenderedPageBreak/>
        <w:t>"הקשרים שבין בני אדם המנהלים יחד עסק לשם הפקת רווחים, למעט את הקשרים שבין חברי תאגיד שהואגד לפי כל דין אחר".</w:t>
      </w:r>
      <w:r>
        <w:rPr>
          <w:rFonts w:ascii="David" w:hAnsi="David" w:cs="David"/>
          <w:sz w:val="24"/>
          <w:szCs w:val="24"/>
          <w:rtl/>
        </w:rPr>
        <w:t xml:space="preserve">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הגם שהמחוקק קבע כי שותפות לשם ניהול עסק חייבת ברישום ופרסום ברשומות (סעיפים 4 ו - 8 לפקודת השותפויות), עצם הרישום איננו מהווה תנאי קונסטיטוטיבי לשם יצירת השותפות (סעיף 6 לפקודת השותפויות). את קיומה של שותפות מכריע תוכנה של ההתקשרות בין הצדדים, ולא המונחים בהם השתמשו</w:t>
      </w:r>
      <w:r>
        <w:rPr>
          <w:rFonts w:ascii="David" w:hAnsi="David" w:cs="David"/>
          <w:sz w:val="24"/>
          <w:szCs w:val="24"/>
        </w:rPr>
        <w:t xml:space="preserve"> </w:t>
      </w:r>
      <w:r>
        <w:rPr>
          <w:rFonts w:ascii="David" w:hAnsi="David" w:cs="David"/>
          <w:sz w:val="24"/>
          <w:szCs w:val="24"/>
          <w:rtl/>
        </w:rPr>
        <w:t xml:space="preserve">הצדדים (ע"א 581/89 </w:t>
      </w:r>
      <w:r>
        <w:rPr>
          <w:rFonts w:ascii="David" w:hAnsi="David" w:cs="David"/>
          <w:b/>
          <w:bCs/>
          <w:sz w:val="24"/>
          <w:szCs w:val="24"/>
          <w:rtl/>
        </w:rPr>
        <w:t>אדרי נ' רוזנברג</w:t>
      </w:r>
      <w:r>
        <w:rPr>
          <w:rFonts w:ascii="David" w:hAnsi="David" w:cs="David"/>
          <w:sz w:val="24"/>
          <w:szCs w:val="24"/>
          <w:rtl/>
        </w:rPr>
        <w:t xml:space="preserve">, פ"ד מו(5), 679, 684 (1992); ע"א 609/78 </w:t>
      </w:r>
      <w:r>
        <w:rPr>
          <w:rFonts w:ascii="David" w:hAnsi="David" w:cs="David"/>
          <w:b/>
          <w:bCs/>
          <w:sz w:val="24"/>
          <w:szCs w:val="24"/>
          <w:rtl/>
        </w:rPr>
        <w:t>קן-תור נ' גלבוע</w:t>
      </w:r>
      <w:r>
        <w:rPr>
          <w:rFonts w:ascii="David" w:hAnsi="David" w:cs="David"/>
          <w:sz w:val="24"/>
          <w:szCs w:val="24"/>
          <w:rtl/>
        </w:rPr>
        <w:t xml:space="preserve">, פ"ד לד(1) 239, 248 (1979); ע"א 283/85 </w:t>
      </w:r>
      <w:r>
        <w:rPr>
          <w:rFonts w:ascii="David" w:hAnsi="David" w:cs="David"/>
          <w:b/>
          <w:bCs/>
          <w:sz w:val="24"/>
          <w:szCs w:val="24"/>
          <w:rtl/>
        </w:rPr>
        <w:t>מוסכי צומת גהה מאוחדים בע"מ נ' וייל</w:t>
      </w:r>
      <w:r>
        <w:rPr>
          <w:rFonts w:ascii="David" w:hAnsi="David" w:cs="David"/>
          <w:sz w:val="24"/>
          <w:szCs w:val="24"/>
          <w:rtl/>
        </w:rPr>
        <w:t xml:space="preserve"> (15.07.87)).</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Pr>
      </w:pPr>
      <w:r>
        <w:rPr>
          <w:rFonts w:ascii="David" w:hAnsi="David" w:cs="David"/>
          <w:sz w:val="24"/>
          <w:szCs w:val="24"/>
          <w:rtl/>
        </w:rPr>
        <w:t>בהתאם, בפסיקה נקבע כי קיומה של שותפות הוא שאלה מעורבת של עובדה ושל חוק:</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6F25F5">
      <w:pPr>
        <w:pStyle w:val="ad"/>
        <w:spacing w:line="360" w:lineRule="auto"/>
        <w:ind w:left="651" w:right="567"/>
        <w:jc w:val="both"/>
        <w:rPr>
          <w:rFonts w:ascii="David" w:hAnsi="David"/>
          <w:color w:val="000000"/>
          <w:sz w:val="27"/>
          <w:szCs w:val="27"/>
          <w:rtl/>
        </w:rPr>
      </w:pPr>
      <w:r>
        <w:rPr>
          <w:rFonts w:ascii="David" w:hAnsi="David" w:cs="David"/>
          <w:sz w:val="24"/>
          <w:szCs w:val="24"/>
          <w:rtl/>
        </w:rPr>
        <w:t xml:space="preserve"> "...לצורך קיום שותפות חייבים להתמלא לפחות שלושה תנאים: (1) קיומו של עסק; (2) שני אנשים או יותר שמנהלים את העסק במשותף; (3) מניע משותף להפקת רווחים [...] השאלה אם בין בעלי דין נקשר הסכם המגיע לכלל קשר של שותפות היא שאלה מעורבת של עובדה ושל חוק. השאלה מתי הממצאים העובדתיים המצטברים מצביעים על קיומה של שותפות, היא שאלה משפטית, אך קביעת התשתית העובדתית העולה מעל פני הראיות באשר לקיומה של שותפות שאלה של עובדה היא" (ע"א 727/88 </w:t>
      </w:r>
      <w:r>
        <w:rPr>
          <w:rFonts w:ascii="David" w:hAnsi="David" w:cs="David"/>
          <w:b/>
          <w:bCs/>
          <w:sz w:val="24"/>
          <w:szCs w:val="24"/>
          <w:rtl/>
        </w:rPr>
        <w:t>שוורץ נ' רנן</w:t>
      </w:r>
      <w:r>
        <w:rPr>
          <w:rFonts w:ascii="David" w:hAnsi="David" w:cs="David"/>
          <w:sz w:val="24"/>
          <w:szCs w:val="24"/>
          <w:rtl/>
        </w:rPr>
        <w:t xml:space="preserve">, פ"ד מו(5) 853 (1988); להלן – עניין </w:t>
      </w:r>
      <w:r>
        <w:rPr>
          <w:rFonts w:ascii="David" w:hAnsi="David" w:cs="David"/>
          <w:b/>
          <w:bCs/>
          <w:sz w:val="24"/>
          <w:szCs w:val="24"/>
          <w:rtl/>
        </w:rPr>
        <w:t>שוורץ</w:t>
      </w:r>
      <w:r>
        <w:rPr>
          <w:rFonts w:ascii="David" w:hAnsi="David" w:cs="David"/>
          <w:sz w:val="24"/>
          <w:szCs w:val="24"/>
          <w:rtl/>
        </w:rPr>
        <w:t>; ראו גם</w:t>
      </w:r>
      <w:r w:rsidR="006F25F5">
        <w:rPr>
          <w:rFonts w:ascii="David" w:hAnsi="David" w:cs="David" w:hint="cs"/>
          <w:sz w:val="24"/>
          <w:szCs w:val="24"/>
          <w:rtl/>
        </w:rPr>
        <w:t xml:space="preserve"> ע"א 7065/15 </w:t>
      </w:r>
      <w:r>
        <w:rPr>
          <w:rFonts w:ascii="David" w:hAnsi="David" w:cs="David" w:hint="cs"/>
          <w:b/>
          <w:bCs/>
          <w:sz w:val="24"/>
          <w:szCs w:val="24"/>
          <w:rtl/>
        </w:rPr>
        <w:t>לוי נ' נחלת א.מ בניה ויזום בע"מ</w:t>
      </w:r>
      <w:r>
        <w:rPr>
          <w:rFonts w:ascii="David" w:hAnsi="David" w:cs="David" w:hint="cs"/>
          <w:sz w:val="24"/>
          <w:szCs w:val="24"/>
          <w:rtl/>
        </w:rPr>
        <w:t xml:space="preserve"> (28.1.18), פס</w:t>
      </w:r>
      <w:r w:rsidR="006F25F5">
        <w:rPr>
          <w:rFonts w:ascii="David" w:hAnsi="David" w:cs="David" w:hint="cs"/>
          <w:sz w:val="24"/>
          <w:szCs w:val="24"/>
          <w:rtl/>
        </w:rPr>
        <w:t>קה</w:t>
      </w:r>
      <w:r>
        <w:rPr>
          <w:rFonts w:ascii="David" w:hAnsi="David" w:cs="David" w:hint="cs"/>
          <w:sz w:val="24"/>
          <w:szCs w:val="24"/>
          <w:rtl/>
        </w:rPr>
        <w:t xml:space="preserve"> 8). </w:t>
      </w:r>
    </w:p>
    <w:p w:rsidR="008606A0" w:rsidRDefault="008606A0"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נוסף על כך, נמנו בעניין </w:t>
      </w:r>
      <w:r>
        <w:rPr>
          <w:rFonts w:ascii="David" w:hAnsi="David" w:cs="David"/>
          <w:b/>
          <w:bCs/>
          <w:sz w:val="24"/>
          <w:szCs w:val="24"/>
          <w:rtl/>
        </w:rPr>
        <w:t>שוורץ</w:t>
      </w:r>
      <w:r>
        <w:rPr>
          <w:rFonts w:ascii="David" w:hAnsi="David" w:cs="David"/>
          <w:sz w:val="24"/>
          <w:szCs w:val="24"/>
          <w:rtl/>
        </w:rPr>
        <w:t xml:space="preserve"> אינדיקציות שונות שעשויות לסייע בקביעה האם קשר כזה או אחר מהווה הלכה למעשה שותפות במובנה המשפטי, ובכלל זאת כוונת הצדדים להיות שותפים והשתתפות הצדדים ברווחי העסק, הצגתם של הצדדים לציבור כשותפים ומשכם של היחסים בין הצדדים.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6F25F5">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ודוק, אין מדובר ברשימה סגורה </w:t>
      </w:r>
      <w:r>
        <w:rPr>
          <w:rFonts w:ascii="David" w:hAnsi="David" w:cs="David"/>
          <w:b/>
          <w:bCs/>
          <w:sz w:val="24"/>
          <w:szCs w:val="24"/>
          <w:rtl/>
        </w:rPr>
        <w:t>ומשקלם של הפרמטרים השונים יקבע על ידי בית המשפט בהתאם להקשר ולנסיבות הדברים</w:t>
      </w:r>
      <w:r>
        <w:rPr>
          <w:rFonts w:ascii="David" w:hAnsi="David" w:cs="David"/>
          <w:sz w:val="24"/>
          <w:szCs w:val="24"/>
          <w:rtl/>
        </w:rPr>
        <w:t xml:space="preserve"> (ת.א. (מחוזי</w:t>
      </w:r>
      <w:r w:rsidR="006F25F5">
        <w:rPr>
          <w:rFonts w:ascii="David" w:hAnsi="David" w:cs="David" w:hint="cs"/>
          <w:sz w:val="24"/>
          <w:szCs w:val="24"/>
          <w:rtl/>
        </w:rPr>
        <w:t xml:space="preserve"> ת"א) 1083/06</w:t>
      </w:r>
      <w:r>
        <w:rPr>
          <w:rFonts w:ascii="David" w:hAnsi="David" w:cs="David"/>
          <w:sz w:val="24"/>
          <w:szCs w:val="24"/>
          <w:rtl/>
        </w:rPr>
        <w:t> </w:t>
      </w:r>
      <w:r>
        <w:rPr>
          <w:rFonts w:ascii="David" w:hAnsi="David" w:cs="David"/>
          <w:b/>
          <w:bCs/>
          <w:sz w:val="24"/>
          <w:szCs w:val="24"/>
          <w:rtl/>
        </w:rPr>
        <w:t>הרמולין נ' בירן</w:t>
      </w:r>
      <w:r>
        <w:rPr>
          <w:rFonts w:ascii="David" w:hAnsi="David" w:cs="David"/>
          <w:sz w:val="24"/>
          <w:szCs w:val="24"/>
          <w:rtl/>
        </w:rPr>
        <w:t xml:space="preserve"> (17.9.09);  ת.א. (מחוזי ת"א) 58416-04-19‏ </w:t>
      </w:r>
      <w:r>
        <w:rPr>
          <w:rFonts w:ascii="David" w:hAnsi="David" w:cs="David"/>
          <w:b/>
          <w:bCs/>
          <w:sz w:val="24"/>
          <w:szCs w:val="24"/>
          <w:rtl/>
        </w:rPr>
        <w:t>קוטלרסקי נ'  שוואב</w:t>
      </w:r>
      <w:r>
        <w:rPr>
          <w:rFonts w:ascii="David" w:hAnsi="David" w:cs="David"/>
          <w:sz w:val="24"/>
          <w:szCs w:val="24"/>
          <w:rtl/>
        </w:rPr>
        <w:t xml:space="preserve">‏ (2.2.20)).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בהינתן כללים אלה, יש לבחון אם המדובר ביחסי שותפות. לצורך זה יש לבחון את הוראות ההסכם ואת כלל הנסיבות.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lastRenderedPageBreak/>
        <w:t>כותרתו של ההסכם הינה "</w:t>
      </w:r>
      <w:r>
        <w:rPr>
          <w:rFonts w:ascii="David" w:hAnsi="David" w:cs="David"/>
          <w:b/>
          <w:bCs/>
          <w:sz w:val="24"/>
          <w:szCs w:val="24"/>
          <w:rtl/>
        </w:rPr>
        <w:t>הסכם לשיתוף פעולה</w:t>
      </w:r>
      <w:r>
        <w:rPr>
          <w:rFonts w:ascii="David" w:hAnsi="David" w:cs="David"/>
          <w:sz w:val="24"/>
          <w:szCs w:val="24"/>
          <w:rtl/>
        </w:rPr>
        <w:t xml:space="preserve">". המשיבים או מי מהם נסחו את ההסכם. עם זאת, מובן כי לא די בכותרת, שיכולה להוות אינדיקציה מסוימת, כדי להחליט בדבר. יש לבחון את </w:t>
      </w:r>
      <w:r>
        <w:rPr>
          <w:rFonts w:ascii="David" w:hAnsi="David" w:cs="David"/>
          <w:b/>
          <w:bCs/>
          <w:sz w:val="24"/>
          <w:szCs w:val="24"/>
          <w:rtl/>
        </w:rPr>
        <w:t>תוכנו</w:t>
      </w:r>
      <w:r>
        <w:rPr>
          <w:rFonts w:ascii="David" w:hAnsi="David" w:cs="David"/>
          <w:sz w:val="24"/>
          <w:szCs w:val="24"/>
          <w:rtl/>
        </w:rPr>
        <w:t xml:space="preserve"> </w:t>
      </w:r>
      <w:r>
        <w:rPr>
          <w:rFonts w:ascii="David" w:hAnsi="David" w:cs="David"/>
          <w:b/>
          <w:bCs/>
          <w:sz w:val="24"/>
          <w:szCs w:val="24"/>
          <w:rtl/>
        </w:rPr>
        <w:t>וכוונתו</w:t>
      </w:r>
      <w:r>
        <w:rPr>
          <w:rFonts w:ascii="David" w:hAnsi="David" w:cs="David"/>
          <w:sz w:val="24"/>
          <w:szCs w:val="24"/>
          <w:rtl/>
        </w:rPr>
        <w:t xml:space="preserve"> מבחינה מהותית, על מנת לעמוד על מהות יחסי הצדדים. לפיכך, נדחית טענת המשיבים בסיכומיהם המשלימים, כי די בהגדרה הכללית של ההתקשרות בסעיף 1 להסכם, לפיו מדובר אך במתן רשות שימוש/השכרה למפיקים לעשות שימוש במועדון, או ב"קבלן עצמאי".</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כפי שצוין לעיל, המפיקים הם אלו שמארגנים ומשווקים את ליין המסיבות לציבור הרחב, דבר הנלמד בין היתר מסעיפים 13, 8, 11 ו-13 להסכם. עם זאת, בכך לא סגי. קיימות מספר הוראות בהסכם המלמדות שאין עסקינן ביחסי שוכר – משכיר אלא בשותפות התחומה לליין המסיבות. אמנה סימנים אלה תוך התייחסות אף לטענות המשיבים בסיכומיהם המשלימים בעניין.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אינדיקציה </w:t>
      </w:r>
      <w:r>
        <w:rPr>
          <w:rFonts w:ascii="David" w:hAnsi="David" w:cs="David"/>
          <w:b/>
          <w:bCs/>
          <w:sz w:val="24"/>
          <w:szCs w:val="24"/>
          <w:rtl/>
        </w:rPr>
        <w:t>ראשונה</w:t>
      </w:r>
      <w:r>
        <w:rPr>
          <w:rFonts w:ascii="David" w:hAnsi="David" w:cs="David"/>
          <w:sz w:val="24"/>
          <w:szCs w:val="24"/>
          <w:rtl/>
        </w:rPr>
        <w:t xml:space="preserve"> לכך שמדובר ביחסי שותפות הינה חלוקת התמורה שתתקבל מליין המסיבות. </w:t>
      </w:r>
    </w:p>
    <w:p w:rsidR="00EB5012" w:rsidRDefault="00EB5012" w:rsidP="00EB5012">
      <w:pPr>
        <w:pStyle w:val="ad"/>
        <w:spacing w:after="120" w:line="360" w:lineRule="auto"/>
        <w:ind w:left="360"/>
        <w:jc w:val="both"/>
        <w:rPr>
          <w:rFonts w:ascii="David" w:hAnsi="David" w:cs="David"/>
          <w:sz w:val="24"/>
          <w:szCs w:val="24"/>
          <w:rtl/>
        </w:rPr>
      </w:pPr>
    </w:p>
    <w:p w:rsidR="00BF725C"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סעיף 2 להסכם קובע הגדרות של מספר מונחים, כגון מהם: "מחזור קופות בר", "הוצאות ערב", "הוצאות גימיקים ומסרונים לערב", "מחזור דמי כניסה לערב" ו"יתרת הוצאות ערב". סעיף 2.2.1 קובע כי המפיקים יקבלו 50% ממחזור דמי הכניסה לערב בניכוי 50% מהוצאות הערב. סעיף 2.3 קובע מנגנון חלוקת תמורה עבור מחזור קופות הבר, באחוזים מדורגים מההכנסות ובניכוי 50% מההוצאות. </w:t>
      </w:r>
    </w:p>
    <w:p w:rsidR="008606A0" w:rsidRDefault="008606A0"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אמנם יכול ודמי שכירות ישולמו כאחוז מהפדיון, דבר הנהוג לעתים בחוזים בקניונים, אך לעתים מזומנות נקבע מחיר מינימום כשכירות, דבר שלא נקבע בהסכם.</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אינדיקציה </w:t>
      </w:r>
      <w:r>
        <w:rPr>
          <w:rFonts w:ascii="David" w:hAnsi="David" w:cs="David"/>
          <w:b/>
          <w:bCs/>
          <w:sz w:val="24"/>
          <w:szCs w:val="24"/>
          <w:rtl/>
        </w:rPr>
        <w:t>שניה</w:t>
      </w:r>
      <w:r>
        <w:rPr>
          <w:rFonts w:ascii="David" w:hAnsi="David" w:cs="David"/>
          <w:sz w:val="24"/>
          <w:szCs w:val="24"/>
          <w:rtl/>
        </w:rPr>
        <w:t xml:space="preserve"> היא העובדה שהצדדים חולקים </w:t>
      </w:r>
      <w:r>
        <w:rPr>
          <w:rFonts w:ascii="David" w:hAnsi="David" w:cs="David"/>
          <w:b/>
          <w:bCs/>
          <w:sz w:val="24"/>
          <w:szCs w:val="24"/>
          <w:rtl/>
        </w:rPr>
        <w:t>בהכנסות</w:t>
      </w:r>
      <w:r>
        <w:rPr>
          <w:rFonts w:ascii="David" w:hAnsi="David" w:cs="David"/>
          <w:sz w:val="24"/>
          <w:szCs w:val="24"/>
          <w:rtl/>
        </w:rPr>
        <w:t xml:space="preserve"> מסוגים שונים תוך הפחתת 50% מההוצאות.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אינדיקציה </w:t>
      </w:r>
      <w:r>
        <w:rPr>
          <w:rFonts w:ascii="David" w:hAnsi="David" w:cs="David"/>
          <w:b/>
          <w:bCs/>
          <w:sz w:val="24"/>
          <w:szCs w:val="24"/>
          <w:rtl/>
        </w:rPr>
        <w:t xml:space="preserve">שלישית </w:t>
      </w:r>
      <w:r>
        <w:rPr>
          <w:rFonts w:ascii="David" w:hAnsi="David" w:cs="David"/>
          <w:sz w:val="24"/>
          <w:szCs w:val="24"/>
          <w:rtl/>
        </w:rPr>
        <w:t>ואולי החשובה ביותר לכך שמדובר בשותפות, מצויה בסעיף 18 להסכם, שהוסף בכתב יד. בסעיף זה נכתב כי "</w:t>
      </w:r>
      <w:r w:rsidRPr="008606A0">
        <w:rPr>
          <w:rFonts w:ascii="David" w:hAnsi="David" w:cs="David"/>
          <w:sz w:val="24"/>
          <w:szCs w:val="24"/>
          <w:rtl/>
        </w:rPr>
        <w:t>בית העסק (המשיבה 1 – י.ש.) מתחייב להעביר לצוות בין 5,000 ל-10,000 ₪ מינימום לחודש"</w:t>
      </w:r>
      <w:r>
        <w:rPr>
          <w:rFonts w:ascii="David" w:hAnsi="David" w:cs="David"/>
          <w:sz w:val="24"/>
          <w:szCs w:val="24"/>
          <w:rtl/>
        </w:rPr>
        <w:t xml:space="preserve">. טרם נתקלתי בהסכם שכירות בו </w:t>
      </w:r>
      <w:r>
        <w:rPr>
          <w:rFonts w:ascii="David" w:hAnsi="David" w:cs="David"/>
          <w:b/>
          <w:bCs/>
          <w:sz w:val="24"/>
          <w:szCs w:val="24"/>
          <w:rtl/>
        </w:rPr>
        <w:t>המשכיר מתחייב לשלם סכום כלשהו כמינימום לשוכר מדי חודש</w:t>
      </w:r>
      <w:r>
        <w:rPr>
          <w:rFonts w:ascii="David" w:hAnsi="David" w:cs="David"/>
          <w:sz w:val="24"/>
          <w:szCs w:val="24"/>
          <w:rtl/>
        </w:rPr>
        <w:t xml:space="preserve"> (שהרי שוכר הוא המשלם דמי שכירות למשכיר). דבר זה מלמד כי אין מדובר ביחסי שכירות.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lastRenderedPageBreak/>
        <w:t xml:space="preserve">אינדיקציה </w:t>
      </w:r>
      <w:r>
        <w:rPr>
          <w:rFonts w:ascii="David" w:hAnsi="David" w:cs="David"/>
          <w:b/>
          <w:bCs/>
          <w:sz w:val="24"/>
          <w:szCs w:val="24"/>
          <w:rtl/>
        </w:rPr>
        <w:t>רביעית</w:t>
      </w:r>
      <w:r>
        <w:rPr>
          <w:rFonts w:ascii="David" w:hAnsi="David" w:cs="David"/>
          <w:sz w:val="24"/>
          <w:szCs w:val="24"/>
          <w:rtl/>
        </w:rPr>
        <w:t xml:space="preserve"> היא סעיף 3 להסכם בו נקבע שהמפיקים מתחייבים להגיע לפגישת עבודה שבועית. זו אינה הוראה מצויה ונדרשת בהסכם שכירות. פגישות עבודה מלמדות על שיתוף פעולה הדוק ותיאום בין הצדדים.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אינדיקציה </w:t>
      </w:r>
      <w:r>
        <w:rPr>
          <w:rFonts w:ascii="David" w:hAnsi="David" w:cs="David"/>
          <w:b/>
          <w:bCs/>
          <w:sz w:val="24"/>
          <w:szCs w:val="24"/>
          <w:rtl/>
        </w:rPr>
        <w:t>חמישית</w:t>
      </w:r>
      <w:r>
        <w:rPr>
          <w:rFonts w:ascii="David" w:hAnsi="David" w:cs="David"/>
          <w:sz w:val="24"/>
          <w:szCs w:val="24"/>
          <w:rtl/>
        </w:rPr>
        <w:t xml:space="preserve"> מצויה בסעיף 16 להסכם, הקובע כי הצוות </w:t>
      </w:r>
      <w:r w:rsidRPr="008606A0">
        <w:rPr>
          <w:rFonts w:ascii="David" w:hAnsi="David" w:cs="David"/>
          <w:sz w:val="24"/>
          <w:szCs w:val="24"/>
          <w:rtl/>
        </w:rPr>
        <w:t>"מתחייב להימנע מלהתחרות המקום או לעסוק בפעילות יח"צ עבור כל עסק אחר כולל הפקות חוץ במהלך תקופת הפעילות, זולת אם התקבל לכל אישור בכתב מהחברה</w:t>
      </w:r>
      <w:r>
        <w:rPr>
          <w:rFonts w:ascii="David" w:hAnsi="David" w:cs="David"/>
          <w:sz w:val="24"/>
          <w:szCs w:val="24"/>
          <w:rtl/>
        </w:rPr>
        <w:t xml:space="preserve">".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סעיף זה מלמד במובהק על יחסים עסקיים שהינם יחסי שותפות. הסעיף מלמד על כך שהצדדים ראו עצמם קשורים במיזם עסקי משותף – ליין המסיבות – והמשיבה 1 חפצה כי המפיקים לא יתחרו בה.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אינדיקציות אלה מלמדות כי שלושת התנאים כאמור בעניין </w:t>
      </w:r>
      <w:r>
        <w:rPr>
          <w:rFonts w:ascii="David" w:hAnsi="David" w:cs="David"/>
          <w:b/>
          <w:bCs/>
          <w:sz w:val="24"/>
          <w:szCs w:val="24"/>
          <w:rtl/>
        </w:rPr>
        <w:t>שוורץ</w:t>
      </w:r>
      <w:r>
        <w:rPr>
          <w:rFonts w:ascii="David" w:hAnsi="David" w:cs="David"/>
          <w:sz w:val="24"/>
          <w:szCs w:val="24"/>
          <w:rtl/>
        </w:rPr>
        <w:t xml:space="preserve"> קוימו: קיומו של עסק;  שני אנשים או יותר שמנהלים את העסק במשותף; מניע משותף להפקת רווחים. נתתי דעתי לכך שכאמור, בפסיקה נוספו ברבות השנים אינדיקציות עזר נוספות, כאשר משקלם של הפרמטרים השונים ייקבע על ידי בית המשפט בהתאם להקשר ולנסיבות הדברים. בענייננו, סבורני כי האינדיקציות שפירטתי לעיל וכלל הנסיבות מובילות למסקנה כי מדובר ביחסי שותפות, ביחס לליין המסיבות. </w:t>
      </w:r>
    </w:p>
    <w:p w:rsidR="002576AC" w:rsidRDefault="002576AC"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ודוק, העובדה שהצדדים בחרו להגדיר בהסכם כי המפיקים הם האחראים על פעולות השיווק ויעשו כן לפי חוק ואף ישפו את המשיבה 1 אם יפרו התחייבות זו, לרבות בפיצוי מוסכם (סעיף 18), מלמדת רק כי זהו תחום הגזרה של המפיקים, והמשיבה 1 ביקשה, ביחסים מולם, לשמור על עצמה מתביעות בהקשר לכך. הסכמות אלה מחייבות ביחסים בין הצדדים להסכם אך אין בכוחן כדי לשנות ממהות ההסכם, כלפי כולי עלמא. </w:t>
      </w:r>
    </w:p>
    <w:p w:rsidR="008606A0" w:rsidRDefault="008606A0" w:rsidP="008606A0">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בכך נדחות טענות המשיבים בסיכומיהם המשלימים כאילו המבקש לא הוכיח את העובדות הנדרשות להוכחת שותפות. האינדיקציות שפורטו לקיום שותפות עולות מתוך ההסכם אותו הביאה המשיבה 1, ואשר נוסח על ידה. בכך סיפקה המשיבה 1 למבקש הן את הפן העובדתי והן את הפן המשפטי לקיום השותפות, ולכן גם לא מצאתי כי מדובר בהרחבת חזית אסורה.</w:t>
      </w:r>
    </w:p>
    <w:p w:rsidR="008606A0" w:rsidRDefault="008606A0"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בשולי דברים אלה אתייחס גם לשתי טענות נוספות של המשיבים בסיכומיהם המשלימים.</w:t>
      </w:r>
    </w:p>
    <w:p w:rsidR="00EB5012" w:rsidRDefault="00EB5012" w:rsidP="00EB5012">
      <w:pPr>
        <w:spacing w:after="120" w:line="360" w:lineRule="auto"/>
        <w:ind w:left="360"/>
        <w:jc w:val="both"/>
        <w:rPr>
          <w:rFonts w:ascii="David" w:hAnsi="David"/>
        </w:rPr>
      </w:pPr>
      <w:r>
        <w:rPr>
          <w:rFonts w:ascii="David" w:hAnsi="David"/>
          <w:rtl/>
        </w:rPr>
        <w:lastRenderedPageBreak/>
        <w:t>המשיבה 1 טענה, בין היתר, כי סיווג יחסיה עם המפיקים כ"שותפות" הינו בעל השלכה כבדת משקל של ייצור "שותפות" של כלל הגורמים שקיימו אירועים במועדון. טענה זו אינה יכולה לעמוד לה במישור היחסים מול המבקש. המשיבה 1 מנסחת את ההסכמים ובוחרת את התקשרויותיה ועליה לנהל את פרטי ההתקשרות באופן שיענה על צרכיה ואם שגתה בעבר בכוחה לתקן זאת בהמשך. אין בכך כדי לפגוע מאחריותה כלפי המבקש.</w:t>
      </w:r>
    </w:p>
    <w:p w:rsidR="00EB5012" w:rsidRDefault="00EB5012" w:rsidP="00EB5012">
      <w:pPr>
        <w:spacing w:after="120" w:line="360" w:lineRule="auto"/>
        <w:ind w:left="360"/>
        <w:jc w:val="both"/>
        <w:rPr>
          <w:rFonts w:ascii="David" w:hAnsi="David"/>
          <w:rtl/>
        </w:rPr>
      </w:pPr>
      <w:r>
        <w:rPr>
          <w:rFonts w:ascii="David" w:hAnsi="David"/>
          <w:rtl/>
        </w:rPr>
        <w:t>טענה נוספת היא כי לא ייתכן שהמפיקים הינם "שלוח" של המשיבה 1 והם לא קיבלו הרשאה לשלוח מסרונים בניגוד לדין, אלא הדבר נאסר במפורש בהסכם. שוב, נפקות האיסור בהסכם לשלוח הודעות בניגוד לדין נדון בנפרד. מכל מקום, אין בו כדי לשלול יחסי שותפות עם המפיקים, כעולה משאר נסיבות העניין.</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מסקנתי הינה איפוא כי מדובר ביחסי שותפות בקשר לליין המסיבות בתקופה הקבועה בהסכם.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מה משמעותה של השותפות בזיקה לבקשה? סעיף 14 לפקודת השותפויות מורה:</w:t>
      </w:r>
    </w:p>
    <w:p w:rsidR="00EB5012" w:rsidRDefault="00EB5012" w:rsidP="00EB5012">
      <w:pPr>
        <w:pStyle w:val="ad"/>
        <w:spacing w:after="120" w:line="360" w:lineRule="auto"/>
        <w:ind w:left="360"/>
        <w:jc w:val="both"/>
        <w:rPr>
          <w:rFonts w:ascii="David" w:hAnsi="David" w:cs="David"/>
          <w:sz w:val="24"/>
          <w:szCs w:val="24"/>
        </w:rPr>
      </w:pPr>
    </w:p>
    <w:p w:rsidR="00EB5012" w:rsidRPr="001225E3" w:rsidRDefault="00EB5012" w:rsidP="001225E3">
      <w:pPr>
        <w:pStyle w:val="ad"/>
        <w:spacing w:line="360" w:lineRule="auto"/>
        <w:ind w:left="651" w:right="567"/>
        <w:jc w:val="both"/>
        <w:rPr>
          <w:rFonts w:cs="David"/>
          <w:sz w:val="24"/>
          <w:szCs w:val="24"/>
        </w:rPr>
      </w:pPr>
      <w:r w:rsidRPr="001225E3">
        <w:rPr>
          <w:rFonts w:cs="David"/>
          <w:sz w:val="24"/>
          <w:szCs w:val="24"/>
          <w:rtl/>
        </w:rPr>
        <w:t>"כל שותף הוא שלוח של השותפות ושל שאר שותפיו לכל ענין של עסקי השותפות; ופעולותיו של כל שותף כשהוא עושה בדרך הרגילה עסק מן הסוג שעושה השותפות שהוא חבר בה, יחייבו את השותפות ואת שותפיו, זולת אם למעשה אין לו הרשאה לפעול בשם השותפות באותו עסק והאדם שעמו נשא ונתן יודע שאין לשותף הרשאה לכך, או שאינו יודע, או אינו מאמין, שהוא שותף</w:t>
      </w:r>
      <w:r w:rsidRPr="001225E3">
        <w:rPr>
          <w:rFonts w:cs="David"/>
          <w:sz w:val="24"/>
          <w:szCs w:val="24"/>
        </w:rPr>
        <w:t>.</w:t>
      </w:r>
      <w:r w:rsidRPr="001225E3">
        <w:rPr>
          <w:rFonts w:cs="David"/>
          <w:sz w:val="24"/>
          <w:szCs w:val="24"/>
          <w:rtl/>
        </w:rPr>
        <w:t>"</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לדברי המשיבים, המפיקים שלחו את ההודעות. הם עשו כן לפי ההסכמות עם המשיבה 1 בהסכם, כך שברור שלא חרגו מסמכותם ובדרך העסקים הרגילה של השותפות. פשיטא, כי מעשיהם מחייבים את השותף – המשיבה 1.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טוענים המשיבים למצער כי יחסי המשיבה 1 עם המפיקים הינם יחסי קבלן – מזמין ולכן חלה עליהם הוראת סעיף 15 לפקודת הנזיקין. סעיף זה פוטר מאחריות אדם שהתקשר עם "בעל חוזה" לביצוע מעשה עבורו:</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D5D93">
      <w:pPr>
        <w:pStyle w:val="ad"/>
        <w:spacing w:line="360" w:lineRule="auto"/>
        <w:ind w:left="651" w:right="567"/>
        <w:jc w:val="both"/>
        <w:rPr>
          <w:rFonts w:ascii="David" w:hAnsi="David" w:cs="David"/>
          <w:b/>
          <w:bCs/>
          <w:sz w:val="24"/>
          <w:szCs w:val="24"/>
          <w:rtl/>
        </w:rPr>
      </w:pPr>
      <w:r w:rsidRPr="00ED5D93">
        <w:rPr>
          <w:rFonts w:cs="David"/>
          <w:sz w:val="24"/>
          <w:szCs w:val="24"/>
          <w:rtl/>
        </w:rPr>
        <w:t>"לעניין פקודה זו, העושה חוזה עם אדם אחר, שאיננו עובדו או שלוחו, על מנת שיעשה למענו מעשה פלוני, לא יהא חב על עוולה שתצמח תוך כדי עשיית אותו מעשה</w:t>
      </w:r>
      <w:r>
        <w:rPr>
          <w:rFonts w:ascii="David" w:hAnsi="David" w:cs="David"/>
          <w:b/>
          <w:bCs/>
          <w:sz w:val="24"/>
          <w:szCs w:val="24"/>
          <w:rtl/>
        </w:rPr>
        <w:t>...."</w:t>
      </w:r>
    </w:p>
    <w:p w:rsidR="00EB5012" w:rsidRDefault="00EB5012" w:rsidP="00EB5012">
      <w:pPr>
        <w:pStyle w:val="ad"/>
        <w:spacing w:after="120" w:line="360" w:lineRule="auto"/>
        <w:ind w:left="360"/>
        <w:rPr>
          <w:rFonts w:ascii="David" w:hAnsi="David" w:cs="David"/>
          <w:b/>
          <w:bCs/>
          <w:sz w:val="24"/>
          <w:szCs w:val="24"/>
          <w:rtl/>
        </w:rPr>
      </w:pPr>
    </w:p>
    <w:p w:rsidR="00EB5012" w:rsidRDefault="00EB5012" w:rsidP="004011FF">
      <w:pPr>
        <w:pStyle w:val="ad"/>
        <w:numPr>
          <w:ilvl w:val="0"/>
          <w:numId w:val="2"/>
        </w:numPr>
        <w:spacing w:after="120" w:line="360" w:lineRule="auto"/>
        <w:jc w:val="both"/>
        <w:rPr>
          <w:rFonts w:ascii="David" w:hAnsi="David" w:cs="David"/>
          <w:sz w:val="24"/>
          <w:szCs w:val="24"/>
        </w:rPr>
      </w:pPr>
      <w:r>
        <w:rPr>
          <w:rFonts w:ascii="David" w:hAnsi="David" w:cs="David"/>
          <w:sz w:val="24"/>
          <w:szCs w:val="24"/>
          <w:rtl/>
        </w:rPr>
        <w:lastRenderedPageBreak/>
        <w:t>ואולם, נמצא כאמור כי עסקינן ביחסי שותפות</w:t>
      </w:r>
      <w:r w:rsidR="004011FF">
        <w:rPr>
          <w:rFonts w:ascii="David" w:hAnsi="David" w:cs="David" w:hint="cs"/>
          <w:sz w:val="24"/>
          <w:szCs w:val="24"/>
          <w:rtl/>
        </w:rPr>
        <w:t xml:space="preserve">. </w:t>
      </w:r>
      <w:r>
        <w:rPr>
          <w:rFonts w:ascii="David" w:hAnsi="David" w:cs="David"/>
          <w:sz w:val="24"/>
          <w:szCs w:val="24"/>
          <w:rtl/>
        </w:rPr>
        <w:t xml:space="preserve">אלה לא יכולים לדור בכפיפה אחת עם יחסי יחסי קבלן – מזמין, </w:t>
      </w:r>
      <w:r w:rsidR="004011FF">
        <w:rPr>
          <w:rFonts w:ascii="David" w:hAnsi="David" w:cs="David" w:hint="cs"/>
          <w:sz w:val="24"/>
          <w:szCs w:val="24"/>
          <w:rtl/>
        </w:rPr>
        <w:t xml:space="preserve">שכן מהות יחסים זו איננה מתיישבת עם יחסי שותפים. ממילא, </w:t>
      </w:r>
      <w:r>
        <w:rPr>
          <w:rFonts w:ascii="David" w:hAnsi="David" w:cs="David"/>
          <w:sz w:val="24"/>
          <w:szCs w:val="24"/>
          <w:rtl/>
        </w:rPr>
        <w:t xml:space="preserve">אין המשיבים יכולים ליהנות מהגנת סעיף 15 לפקודת הנזיקין.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4011FF">
      <w:pPr>
        <w:pStyle w:val="ad"/>
        <w:spacing w:after="120" w:line="360" w:lineRule="auto"/>
        <w:ind w:left="360"/>
        <w:jc w:val="both"/>
        <w:rPr>
          <w:rFonts w:ascii="David" w:hAnsi="David" w:cs="David"/>
          <w:sz w:val="24"/>
          <w:szCs w:val="24"/>
          <w:rtl/>
        </w:rPr>
      </w:pPr>
      <w:r>
        <w:rPr>
          <w:rFonts w:ascii="David" w:hAnsi="David" w:cs="David"/>
          <w:sz w:val="24"/>
          <w:szCs w:val="24"/>
          <w:rtl/>
        </w:rPr>
        <w:t>בעיקר נכון הדבר כאשר המשיבה 1 עוסקת בעצמה בתחום חיי הלילה (ראו דברי מר אלרם בעמ' 47), וכאשר לפי סעיף 18 להסכם אף פועל מטעמה מנהל יחסי הציבור מר איתמר אליאסי. הדבר נלמד גם מכך שלמשיבה 1 מאגרים של לקוחות כעולה מתכתובת המבקש עם נציג המשיבה 1 בקשר להודעות, שם כתב הנציג "</w:t>
      </w:r>
      <w:r w:rsidRPr="008606A0">
        <w:rPr>
          <w:rFonts w:ascii="David" w:hAnsi="David" w:cs="David"/>
          <w:sz w:val="24"/>
          <w:szCs w:val="24"/>
          <w:rtl/>
        </w:rPr>
        <w:t>היי, כנראה אתה נמצא במאגרים שלנו</w:t>
      </w:r>
      <w:r>
        <w:rPr>
          <w:rFonts w:ascii="David" w:hAnsi="David" w:cs="David"/>
          <w:b/>
          <w:bCs/>
          <w:sz w:val="24"/>
          <w:szCs w:val="24"/>
          <w:rtl/>
        </w:rPr>
        <w:t>..</w:t>
      </w:r>
      <w:r>
        <w:rPr>
          <w:rFonts w:ascii="David" w:hAnsi="David" w:cs="David"/>
          <w:sz w:val="24"/>
          <w:szCs w:val="24"/>
          <w:rtl/>
        </w:rPr>
        <w:t>." וכן "</w:t>
      </w:r>
      <w:r w:rsidRPr="008606A0">
        <w:rPr>
          <w:rFonts w:ascii="David" w:hAnsi="David" w:cs="David"/>
          <w:sz w:val="24"/>
          <w:szCs w:val="24"/>
          <w:rtl/>
        </w:rPr>
        <w:t>ויש לנו הרבה מאד הפקות, מועדונים וברים בעיר וכשאתה רוכש כרטיס למסיבה...אנחנו שולחים ניוזלייטרס ללקוחות</w:t>
      </w:r>
      <w:r>
        <w:rPr>
          <w:rFonts w:ascii="David" w:hAnsi="David" w:cs="David"/>
          <w:sz w:val="24"/>
          <w:szCs w:val="24"/>
          <w:rtl/>
        </w:rPr>
        <w:t xml:space="preserve">...". </w:t>
      </w:r>
      <w:r w:rsidR="004011FF">
        <w:rPr>
          <w:rFonts w:ascii="David" w:hAnsi="David" w:cs="David" w:hint="cs"/>
          <w:sz w:val="24"/>
          <w:szCs w:val="24"/>
          <w:rtl/>
        </w:rPr>
        <w:t xml:space="preserve">בדרך כלל (אם כי לא בהכרח), יחסי קבלן </w:t>
      </w:r>
      <w:r w:rsidR="004011FF">
        <w:rPr>
          <w:rFonts w:ascii="David" w:hAnsi="David" w:cs="David"/>
          <w:sz w:val="24"/>
          <w:szCs w:val="24"/>
          <w:rtl/>
        </w:rPr>
        <w:t>–</w:t>
      </w:r>
      <w:r w:rsidR="004011FF">
        <w:rPr>
          <w:rFonts w:ascii="David" w:hAnsi="David" w:cs="David" w:hint="cs"/>
          <w:sz w:val="24"/>
          <w:szCs w:val="24"/>
          <w:rtl/>
        </w:rPr>
        <w:t xml:space="preserve"> מזמין מאופיינים בכך שהמזמין שוכר שירותי קבלן שיעשה עבורו דבר מה שאינו מצוי בתחום עיסוקו של המזמין.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974517">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להשלמת התמונה אציין כי סיווג יחסי הצדדים כ"שותפות", שולל לא רק את תפיסתם כ"קבלן – מזמין", אלא גם כ"עובד – מעביד", באשר שותפים אינם מעסיקים באותו עסק כשכירים איש את שותפו.  </w:t>
      </w:r>
    </w:p>
    <w:p w:rsidR="00974517" w:rsidRDefault="00974517" w:rsidP="00EB5012">
      <w:pPr>
        <w:pStyle w:val="ad"/>
        <w:spacing w:after="120" w:line="360" w:lineRule="auto"/>
        <w:ind w:left="360"/>
        <w:jc w:val="both"/>
        <w:rPr>
          <w:rFonts w:ascii="David" w:hAnsi="David" w:cs="David"/>
          <w:sz w:val="24"/>
          <w:szCs w:val="24"/>
        </w:rPr>
      </w:pPr>
    </w:p>
    <w:p w:rsidR="00EB5012" w:rsidRDefault="00EB5012" w:rsidP="00EB5012">
      <w:pPr>
        <w:spacing w:after="120" w:line="360" w:lineRule="auto"/>
        <w:jc w:val="both"/>
        <w:rPr>
          <w:rFonts w:ascii="David" w:hAnsi="David"/>
          <w:b/>
          <w:bCs/>
          <w:sz w:val="28"/>
          <w:szCs w:val="28"/>
          <w:u w:val="single"/>
        </w:rPr>
      </w:pPr>
      <w:r>
        <w:rPr>
          <w:rFonts w:ascii="David" w:hAnsi="David"/>
          <w:b/>
          <w:bCs/>
          <w:sz w:val="28"/>
          <w:szCs w:val="28"/>
          <w:rtl/>
        </w:rPr>
        <w:t xml:space="preserve">ז. </w:t>
      </w:r>
      <w:r>
        <w:rPr>
          <w:rFonts w:ascii="David" w:hAnsi="David"/>
          <w:b/>
          <w:bCs/>
          <w:sz w:val="28"/>
          <w:szCs w:val="28"/>
          <w:u w:val="single"/>
          <w:rtl/>
        </w:rPr>
        <w:t>האם הוכיח המבקש דבר קיום קבוצה כאמור בבקשה וקיום עילת תביעה לגביה</w:t>
      </w:r>
      <w:r>
        <w:rPr>
          <w:rFonts w:ascii="David" w:hAnsi="David"/>
          <w:b/>
          <w:bCs/>
          <w:sz w:val="28"/>
          <w:szCs w:val="28"/>
          <w:rtl/>
        </w:rPr>
        <w:t>?</w:t>
      </w:r>
    </w:p>
    <w:p w:rsidR="00EB5012" w:rsidRDefault="00EB5012" w:rsidP="00EB5012">
      <w:pPr>
        <w:pStyle w:val="ad"/>
        <w:spacing w:line="360" w:lineRule="auto"/>
        <w:ind w:left="360"/>
        <w:jc w:val="both"/>
        <w:rPr>
          <w:rFonts w:ascii="David" w:hAnsi="David" w:cs="David"/>
          <w:sz w:val="24"/>
          <w:szCs w:val="24"/>
          <w:highlight w:val="yellow"/>
          <w:rtl/>
        </w:rPr>
      </w:pPr>
    </w:p>
    <w:p w:rsidR="00EB5012" w:rsidRDefault="00EB5012" w:rsidP="00EB5012">
      <w:pPr>
        <w:pStyle w:val="ad"/>
        <w:numPr>
          <w:ilvl w:val="0"/>
          <w:numId w:val="2"/>
        </w:numPr>
        <w:spacing w:line="360" w:lineRule="auto"/>
        <w:jc w:val="both"/>
        <w:rPr>
          <w:rFonts w:cs="Times New Roman"/>
          <w:color w:val="000000"/>
          <w:sz w:val="24"/>
          <w:szCs w:val="24"/>
        </w:rPr>
      </w:pPr>
      <w:r>
        <w:rPr>
          <w:rFonts w:ascii="David" w:hAnsi="David" w:cs="David"/>
          <w:sz w:val="24"/>
          <w:szCs w:val="24"/>
          <w:rtl/>
        </w:rPr>
        <w:t xml:space="preserve">כאמור, המשיבים טענו בתשובה כי לא קוימו התנאים לאישור התובענה כייצוגית כאמור בסעיף 8(א) לחוק תובענות ייצוגיות וכי אין אפשרות סבירה שהשאלות המשותפות תוכרענה לטובת ה"קבוצה". זאת, גם משום </w:t>
      </w:r>
      <w:r>
        <w:rPr>
          <w:rFonts w:ascii="David" w:hAnsi="David" w:cs="David"/>
          <w:b/>
          <w:bCs/>
          <w:sz w:val="24"/>
          <w:szCs w:val="24"/>
          <w:rtl/>
        </w:rPr>
        <w:t>שלא הוכחה קיומה של קבוצה</w:t>
      </w:r>
      <w:r>
        <w:rPr>
          <w:rFonts w:ascii="David" w:hAnsi="David" w:cs="David"/>
          <w:sz w:val="24"/>
          <w:szCs w:val="24"/>
          <w:rtl/>
        </w:rPr>
        <w:t xml:space="preserve"> בתקופה שצוינה בבקשה.</w:t>
      </w:r>
    </w:p>
    <w:p w:rsidR="008606A0" w:rsidRDefault="008606A0" w:rsidP="00EB5012">
      <w:pPr>
        <w:pStyle w:val="ad"/>
        <w:rPr>
          <w:rFonts w:ascii="David" w:hAnsi="David" w:cs="David"/>
          <w:sz w:val="24"/>
          <w:szCs w:val="24"/>
        </w:rPr>
      </w:pPr>
    </w:p>
    <w:p w:rsidR="00EB5012" w:rsidRDefault="00EB5012" w:rsidP="00EB5012">
      <w:pPr>
        <w:pStyle w:val="ad"/>
        <w:numPr>
          <w:ilvl w:val="0"/>
          <w:numId w:val="2"/>
        </w:numPr>
        <w:spacing w:line="360" w:lineRule="auto"/>
        <w:jc w:val="both"/>
        <w:rPr>
          <w:rFonts w:cs="Times New Roman"/>
          <w:color w:val="000000"/>
          <w:sz w:val="24"/>
          <w:szCs w:val="24"/>
          <w:rtl/>
        </w:rPr>
      </w:pPr>
      <w:r>
        <w:rPr>
          <w:rFonts w:ascii="David" w:hAnsi="David" w:cs="David"/>
          <w:sz w:val="24"/>
          <w:szCs w:val="24"/>
          <w:rtl/>
        </w:rPr>
        <w:t>תחילה יש להזכיר כי הנטל המוטל על המבקש בשלב זה של אישור התביעה כתביעה ייצוגית – גבוה יותר מאשר הנטל המוטל על תובע רגיל בעת הגשת תביעה. בית המשפט בוחן את האמור בכתב התביעה, את ראיות התביעה וגם את טענות ההגנה. אם בית המשפט מגלה כי סיכויי התביעה להתקבל אינם גבוהים – לא תאושר הגשת התביעה כתביעה ייצוגית</w:t>
      </w:r>
      <w:r>
        <w:rPr>
          <w:rFonts w:ascii="David" w:hAnsi="David" w:cs="David"/>
          <w:color w:val="000000"/>
          <w:rtl/>
        </w:rPr>
        <w:t> (</w:t>
      </w:r>
      <w:r>
        <w:rPr>
          <w:rFonts w:ascii="David" w:hAnsi="David" w:cs="David"/>
          <w:color w:val="000000"/>
          <w:sz w:val="24"/>
          <w:szCs w:val="24"/>
          <w:rtl/>
        </w:rPr>
        <w:t xml:space="preserve">עניין </w:t>
      </w:r>
      <w:r>
        <w:rPr>
          <w:rFonts w:ascii="David" w:hAnsi="David" w:cs="David"/>
          <w:b/>
          <w:bCs/>
          <w:color w:val="000000"/>
          <w:sz w:val="24"/>
          <w:szCs w:val="24"/>
          <w:rtl/>
        </w:rPr>
        <w:t>גת</w:t>
      </w:r>
      <w:r>
        <w:rPr>
          <w:rFonts w:ascii="David" w:hAnsi="David" w:cs="David"/>
          <w:color w:val="000000"/>
          <w:sz w:val="24"/>
          <w:szCs w:val="24"/>
          <w:rtl/>
        </w:rPr>
        <w:t xml:space="preserve">). </w:t>
      </w:r>
    </w:p>
    <w:p w:rsidR="00EB5012" w:rsidRDefault="00EB5012" w:rsidP="00EB5012">
      <w:pPr>
        <w:pStyle w:val="ad"/>
        <w:spacing w:line="360" w:lineRule="auto"/>
        <w:ind w:left="360"/>
        <w:jc w:val="both"/>
        <w:rPr>
          <w:rFonts w:cs="Times New Roman"/>
          <w:color w:val="000000"/>
          <w:sz w:val="20"/>
          <w:szCs w:val="20"/>
        </w:rPr>
      </w:pPr>
    </w:p>
    <w:p w:rsidR="00EB5012" w:rsidRDefault="00EB5012" w:rsidP="00EB5012">
      <w:pPr>
        <w:pStyle w:val="ad"/>
        <w:spacing w:line="360" w:lineRule="auto"/>
        <w:ind w:left="360"/>
        <w:jc w:val="both"/>
        <w:rPr>
          <w:rFonts w:ascii="David" w:hAnsi="David" w:cs="David"/>
          <w:color w:val="000000"/>
          <w:sz w:val="24"/>
          <w:szCs w:val="24"/>
        </w:rPr>
      </w:pPr>
      <w:r>
        <w:rPr>
          <w:rFonts w:ascii="David" w:hAnsi="David" w:cs="David"/>
          <w:color w:val="000000"/>
          <w:sz w:val="24"/>
          <w:szCs w:val="24"/>
          <w:rtl/>
        </w:rPr>
        <w:t>מסעיף 8(א) לחוק תובענות ייצוגיות עולה כי המחוקק אימץ את הדרישה של "</w:t>
      </w:r>
      <w:r>
        <w:rPr>
          <w:rFonts w:ascii="David" w:hAnsi="David" w:cs="David"/>
          <w:b/>
          <w:bCs/>
          <w:color w:val="000000"/>
          <w:sz w:val="24"/>
          <w:szCs w:val="24"/>
          <w:rtl/>
        </w:rPr>
        <w:t>אפשרות סבירה</w:t>
      </w:r>
      <w:r>
        <w:rPr>
          <w:rFonts w:ascii="David" w:hAnsi="David" w:cs="David"/>
          <w:color w:val="000000"/>
          <w:sz w:val="24"/>
          <w:szCs w:val="24"/>
          <w:rtl/>
        </w:rPr>
        <w:t>" שהשאלות בתובענה יוכרעו לטובת הקבוצה.</w:t>
      </w:r>
    </w:p>
    <w:p w:rsidR="00EB5012" w:rsidRDefault="00EB5012" w:rsidP="00EB5012">
      <w:pPr>
        <w:pStyle w:val="ad"/>
        <w:spacing w:line="360" w:lineRule="auto"/>
        <w:ind w:left="360"/>
        <w:jc w:val="both"/>
        <w:rPr>
          <w:rFonts w:ascii="David" w:hAnsi="David" w:cs="David"/>
          <w:color w:val="000000"/>
          <w:sz w:val="24"/>
          <w:szCs w:val="24"/>
          <w:rtl/>
        </w:rPr>
      </w:pPr>
    </w:p>
    <w:p w:rsidR="00EB5012" w:rsidRDefault="00EB5012" w:rsidP="00EB5012">
      <w:pPr>
        <w:pStyle w:val="ad"/>
        <w:spacing w:line="360" w:lineRule="auto"/>
        <w:ind w:left="360"/>
        <w:jc w:val="both"/>
        <w:rPr>
          <w:rFonts w:ascii="David" w:hAnsi="David" w:cs="David"/>
          <w:color w:val="000000"/>
          <w:sz w:val="24"/>
          <w:szCs w:val="24"/>
          <w:rtl/>
        </w:rPr>
      </w:pPr>
      <w:r>
        <w:rPr>
          <w:rFonts w:ascii="David" w:hAnsi="David" w:cs="David"/>
          <w:color w:val="000000"/>
          <w:sz w:val="24"/>
          <w:szCs w:val="24"/>
          <w:rtl/>
        </w:rPr>
        <w:lastRenderedPageBreak/>
        <w:t xml:space="preserve">המשמעות של דרישה זו היא כי על התובע לשכנע את בית המשפט במידת הסבירות הראויה, ולא על-פי האמור בכתב התביעה בלבד, כי הוא ממלא לכאורה את התנאי של קיומה של עילה אישית (ע"א 2967/95 </w:t>
      </w:r>
      <w:r>
        <w:rPr>
          <w:rFonts w:ascii="David" w:hAnsi="David" w:cs="David"/>
          <w:b/>
          <w:bCs/>
          <w:color w:val="000000"/>
          <w:sz w:val="24"/>
          <w:szCs w:val="24"/>
          <w:rtl/>
        </w:rPr>
        <w:t>מגן וקשת נ' טמפו תעשיות</w:t>
      </w:r>
      <w:r>
        <w:rPr>
          <w:rFonts w:ascii="David" w:hAnsi="David" w:cs="David"/>
          <w:color w:val="000000"/>
          <w:sz w:val="24"/>
          <w:szCs w:val="24"/>
          <w:rtl/>
        </w:rPr>
        <w:t>, פ"ד נא (2) 312, 320-321 (1997)).</w:t>
      </w:r>
    </w:p>
    <w:p w:rsidR="00EB5012" w:rsidRDefault="00EB5012" w:rsidP="00EB5012">
      <w:pPr>
        <w:pStyle w:val="ad"/>
        <w:spacing w:line="360" w:lineRule="auto"/>
        <w:ind w:left="360"/>
        <w:jc w:val="both"/>
        <w:rPr>
          <w:rFonts w:ascii="David" w:hAnsi="David" w:cs="David"/>
          <w:sz w:val="24"/>
          <w:szCs w:val="24"/>
          <w:highlight w:val="yellow"/>
          <w:rtl/>
        </w:rPr>
      </w:pPr>
    </w:p>
    <w:p w:rsidR="001859EA" w:rsidRDefault="00EB5012" w:rsidP="001859EA">
      <w:pPr>
        <w:pStyle w:val="ad"/>
        <w:numPr>
          <w:ilvl w:val="0"/>
          <w:numId w:val="2"/>
        </w:numPr>
        <w:spacing w:line="360" w:lineRule="auto"/>
        <w:jc w:val="both"/>
        <w:rPr>
          <w:rFonts w:ascii="David" w:hAnsi="David" w:cs="David"/>
          <w:sz w:val="24"/>
          <w:szCs w:val="24"/>
        </w:rPr>
      </w:pPr>
      <w:r>
        <w:rPr>
          <w:rFonts w:ascii="David" w:hAnsi="David" w:cs="David"/>
          <w:sz w:val="24"/>
          <w:szCs w:val="24"/>
          <w:rtl/>
        </w:rPr>
        <w:t>בהקשר לקיומה של קבוצה</w:t>
      </w:r>
      <w:r w:rsidR="001859EA">
        <w:rPr>
          <w:rFonts w:ascii="David" w:hAnsi="David" w:cs="David" w:hint="cs"/>
          <w:sz w:val="24"/>
          <w:szCs w:val="24"/>
          <w:rtl/>
        </w:rPr>
        <w:t>,</w:t>
      </w:r>
      <w:r>
        <w:rPr>
          <w:rFonts w:ascii="David" w:hAnsi="David" w:cs="David"/>
          <w:sz w:val="24"/>
          <w:szCs w:val="24"/>
          <w:rtl/>
        </w:rPr>
        <w:t xml:space="preserve"> נקבע </w:t>
      </w:r>
      <w:r w:rsidR="001859EA">
        <w:rPr>
          <w:rFonts w:ascii="David" w:hAnsi="David" w:cs="David" w:hint="cs"/>
          <w:sz w:val="24"/>
          <w:szCs w:val="24"/>
          <w:rtl/>
        </w:rPr>
        <w:t>ב</w:t>
      </w:r>
      <w:r w:rsidR="001859EA" w:rsidRPr="001859EA">
        <w:rPr>
          <w:rFonts w:ascii="David" w:hAnsi="David" w:cs="David"/>
          <w:sz w:val="24"/>
          <w:szCs w:val="24"/>
          <w:rtl/>
        </w:rPr>
        <w:t>ע</w:t>
      </w:r>
      <w:r w:rsidR="001859EA">
        <w:rPr>
          <w:rFonts w:ascii="David" w:hAnsi="David" w:cs="David" w:hint="cs"/>
          <w:sz w:val="24"/>
          <w:szCs w:val="24"/>
          <w:rtl/>
        </w:rPr>
        <w:t>"</w:t>
      </w:r>
      <w:r w:rsidR="001859EA" w:rsidRPr="001859EA">
        <w:rPr>
          <w:rFonts w:ascii="David" w:hAnsi="David" w:cs="David"/>
          <w:sz w:val="24"/>
          <w:szCs w:val="24"/>
          <w:rtl/>
        </w:rPr>
        <w:t xml:space="preserve">א 3948/11 </w:t>
      </w:r>
      <w:r w:rsidR="001859EA" w:rsidRPr="001859EA">
        <w:rPr>
          <w:rFonts w:ascii="David" w:hAnsi="David" w:cs="David"/>
          <w:b/>
          <w:bCs/>
          <w:sz w:val="24"/>
          <w:szCs w:val="24"/>
          <w:rtl/>
        </w:rPr>
        <w:t>חגי נ' פרטנר תקשורת בע"מ</w:t>
      </w:r>
      <w:r w:rsidR="001859EA">
        <w:rPr>
          <w:rFonts w:ascii="David" w:hAnsi="David" w:cs="David" w:hint="cs"/>
          <w:sz w:val="24"/>
          <w:szCs w:val="24"/>
          <w:rtl/>
        </w:rPr>
        <w:t xml:space="preserve"> (20.11.12): </w:t>
      </w:r>
    </w:p>
    <w:p w:rsidR="001859EA" w:rsidRDefault="001859EA" w:rsidP="001859EA">
      <w:pPr>
        <w:pStyle w:val="ad"/>
        <w:spacing w:line="360" w:lineRule="auto"/>
        <w:ind w:left="360"/>
        <w:jc w:val="both"/>
        <w:rPr>
          <w:rFonts w:ascii="David" w:hAnsi="David" w:cs="David"/>
          <w:sz w:val="24"/>
          <w:szCs w:val="24"/>
          <w:rtl/>
        </w:rPr>
      </w:pPr>
    </w:p>
    <w:p w:rsidR="001859EA" w:rsidRDefault="001859EA" w:rsidP="001859EA">
      <w:pPr>
        <w:pStyle w:val="ad"/>
        <w:spacing w:line="360" w:lineRule="auto"/>
        <w:ind w:left="651" w:right="567"/>
        <w:jc w:val="both"/>
        <w:rPr>
          <w:rFonts w:ascii="David" w:hAnsi="David" w:cs="David"/>
          <w:sz w:val="24"/>
          <w:szCs w:val="24"/>
          <w:rtl/>
        </w:rPr>
      </w:pPr>
      <w:r>
        <w:rPr>
          <w:rFonts w:ascii="David" w:hAnsi="David" w:cs="David"/>
          <w:sz w:val="24"/>
          <w:szCs w:val="24"/>
          <w:rtl/>
        </w:rPr>
        <w:t xml:space="preserve">"אף שהמערערת הוכיחה את תביעתה האישית, תמימת דעים אני עם בית המשפט המחוזי, שהיא לא עמדה במידה מספקת בנטל להוכיח כי מה שארע לגביה – חיובים בתשלום עבור שירותי תוכן שלא ביקשה ולא אישרה – ארע גם בעניינה של "קבוצה" של תובעים ייצוגיים, ועל כן </w:t>
      </w:r>
      <w:r w:rsidRPr="001859EA">
        <w:rPr>
          <w:rFonts w:ascii="David" w:hAnsi="David" w:cs="David"/>
          <w:b/>
          <w:bCs/>
          <w:sz w:val="24"/>
          <w:szCs w:val="24"/>
          <w:rtl/>
        </w:rPr>
        <w:t>מדובר ב"שיטה" של הנתבעת</w:t>
      </w:r>
      <w:r w:rsidRPr="001859EA">
        <w:rPr>
          <w:rFonts w:ascii="David" w:hAnsi="David" w:cs="David" w:hint="cs"/>
          <w:b/>
          <w:bCs/>
          <w:sz w:val="24"/>
          <w:szCs w:val="24"/>
          <w:rtl/>
        </w:rPr>
        <w:t xml:space="preserve"> </w:t>
      </w:r>
      <w:r w:rsidRPr="001859EA">
        <w:rPr>
          <w:rFonts w:ascii="David" w:hAnsi="David" w:cs="David"/>
          <w:b/>
          <w:bCs/>
          <w:sz w:val="24"/>
          <w:szCs w:val="24"/>
          <w:rtl/>
        </w:rPr>
        <w:t>כלפי לקוחות אחרים</w:t>
      </w:r>
      <w:r w:rsidRPr="001859EA">
        <w:rPr>
          <w:rFonts w:ascii="David" w:hAnsi="David" w:cs="David" w:hint="cs"/>
          <w:sz w:val="24"/>
          <w:szCs w:val="24"/>
          <w:rtl/>
        </w:rPr>
        <w:t>."</w:t>
      </w:r>
      <w:r>
        <w:rPr>
          <w:rFonts w:ascii="David" w:hAnsi="David" w:cs="David" w:hint="cs"/>
          <w:sz w:val="24"/>
          <w:szCs w:val="24"/>
          <w:rtl/>
        </w:rPr>
        <w:t xml:space="preserve"> (פסקה 4; ההדגשה אי</w:t>
      </w:r>
      <w:r w:rsidR="002011FD">
        <w:rPr>
          <w:rFonts w:ascii="David" w:hAnsi="David" w:cs="David" w:hint="cs"/>
          <w:sz w:val="24"/>
          <w:szCs w:val="24"/>
          <w:rtl/>
        </w:rPr>
        <w:t>ננה במקור</w:t>
      </w:r>
      <w:r>
        <w:rPr>
          <w:rFonts w:ascii="David" w:hAnsi="David" w:cs="David" w:hint="cs"/>
          <w:sz w:val="24"/>
          <w:szCs w:val="24"/>
          <w:rtl/>
        </w:rPr>
        <w:t>)</w:t>
      </w:r>
    </w:p>
    <w:p w:rsidR="001859EA" w:rsidRDefault="001859EA" w:rsidP="001859EA">
      <w:pPr>
        <w:pStyle w:val="ad"/>
        <w:spacing w:line="360" w:lineRule="auto"/>
        <w:ind w:left="360"/>
        <w:jc w:val="both"/>
        <w:rPr>
          <w:rFonts w:ascii="David" w:hAnsi="David" w:cs="David"/>
          <w:sz w:val="24"/>
          <w:szCs w:val="24"/>
        </w:rPr>
      </w:pPr>
    </w:p>
    <w:p w:rsidR="00EB5012" w:rsidRDefault="001859EA" w:rsidP="001859EA">
      <w:pPr>
        <w:pStyle w:val="ad"/>
        <w:spacing w:line="360" w:lineRule="auto"/>
        <w:ind w:left="360"/>
        <w:jc w:val="both"/>
        <w:rPr>
          <w:rFonts w:ascii="David" w:hAnsi="David" w:cs="David"/>
          <w:sz w:val="24"/>
          <w:szCs w:val="24"/>
        </w:rPr>
      </w:pPr>
      <w:r>
        <w:rPr>
          <w:rFonts w:ascii="David" w:hAnsi="David" w:cs="David" w:hint="cs"/>
          <w:sz w:val="24"/>
          <w:szCs w:val="24"/>
          <w:rtl/>
        </w:rPr>
        <w:t>ו</w:t>
      </w:r>
      <w:r w:rsidR="00EB5012">
        <w:rPr>
          <w:rFonts w:ascii="David" w:hAnsi="David" w:cs="David"/>
          <w:sz w:val="24"/>
          <w:szCs w:val="24"/>
          <w:rtl/>
        </w:rPr>
        <w:t xml:space="preserve">בעניין </w:t>
      </w:r>
      <w:r w:rsidR="00EB5012">
        <w:rPr>
          <w:rFonts w:ascii="David" w:hAnsi="David" w:cs="David"/>
          <w:b/>
          <w:bCs/>
          <w:sz w:val="24"/>
          <w:szCs w:val="24"/>
          <w:rtl/>
        </w:rPr>
        <w:t>המשביר</w:t>
      </w:r>
      <w:r>
        <w:rPr>
          <w:rFonts w:ascii="David" w:hAnsi="David" w:cs="David" w:hint="cs"/>
          <w:sz w:val="24"/>
          <w:szCs w:val="24"/>
          <w:rtl/>
        </w:rPr>
        <w:t>:</w:t>
      </w:r>
    </w:p>
    <w:p w:rsidR="00EB5012" w:rsidRDefault="00EB5012" w:rsidP="00EB5012">
      <w:pPr>
        <w:pStyle w:val="ad"/>
        <w:spacing w:line="360" w:lineRule="auto"/>
        <w:ind w:left="651" w:right="567"/>
        <w:jc w:val="both"/>
        <w:rPr>
          <w:rFonts w:ascii="David" w:hAnsi="David" w:cs="David"/>
          <w:sz w:val="24"/>
          <w:szCs w:val="24"/>
          <w:rtl/>
        </w:rPr>
      </w:pPr>
    </w:p>
    <w:p w:rsidR="00EB5012" w:rsidRDefault="00EB5012" w:rsidP="001859EA">
      <w:pPr>
        <w:pStyle w:val="ad"/>
        <w:spacing w:line="360" w:lineRule="auto"/>
        <w:ind w:left="651" w:right="567"/>
        <w:jc w:val="both"/>
        <w:rPr>
          <w:rFonts w:ascii="David" w:hAnsi="David" w:cs="David"/>
          <w:sz w:val="24"/>
          <w:szCs w:val="24"/>
          <w:rtl/>
        </w:rPr>
      </w:pPr>
      <w:r>
        <w:rPr>
          <w:rFonts w:ascii="David" w:hAnsi="David" w:cs="David"/>
          <w:sz w:val="24"/>
          <w:szCs w:val="24"/>
          <w:rtl/>
        </w:rPr>
        <w:t>"במצב דברים זה אין די בהסתמכות על קיומן של מספר מצומצם של תלונות ותביעות קטנות</w:t>
      </w:r>
      <w:r w:rsidR="001859EA">
        <w:rPr>
          <w:rFonts w:ascii="David" w:hAnsi="David" w:cs="David" w:hint="cs"/>
          <w:sz w:val="24"/>
          <w:szCs w:val="24"/>
          <w:rtl/>
        </w:rPr>
        <w:t>...</w:t>
      </w:r>
      <w:r>
        <w:rPr>
          <w:rFonts w:ascii="David" w:hAnsi="David" w:cs="David"/>
          <w:sz w:val="24"/>
          <w:szCs w:val="24"/>
          <w:rtl/>
        </w:rPr>
        <w:t>כדי לעמוד בנטל המוטל על  המבקשים.</w:t>
      </w:r>
      <w:r w:rsidR="001859EA">
        <w:rPr>
          <w:rFonts w:ascii="David" w:hAnsi="David" w:cs="David" w:hint="cs"/>
          <w:sz w:val="24"/>
          <w:szCs w:val="24"/>
          <w:rtl/>
        </w:rPr>
        <w:t>..</w:t>
      </w:r>
      <w:r>
        <w:rPr>
          <w:rFonts w:ascii="David" w:hAnsi="David" w:cs="David"/>
          <w:b/>
          <w:bCs/>
          <w:sz w:val="24"/>
          <w:szCs w:val="24"/>
          <w:rtl/>
        </w:rPr>
        <w:t>נראה לי כי המערערת לא עשתה די כדי לעמוד בנטל הנדרש להוכחת העובדות באופן שיצדיק אישור התובענה בתובענה ייצוגית. על כן לדעתי צדק בית המשפט כשקבע כי לא די במה שהובא לפניו כדי לקבוע שהונחה תשתית ראייתית לכאורה לכך שהמשיבה נוהגת כ"שיטה" או כדרך עבודה לעודד מוקדני שירות לחייב את לקוחותיה בחבילות תוכן ללא הסכמתם. משכך לא הוכח, אף לא לכאורה, כי קיימת קבוצה שקיימת לה עילת תביעה</w:t>
      </w:r>
      <w:r w:rsidR="001859EA">
        <w:rPr>
          <w:rFonts w:ascii="David" w:hAnsi="David" w:cs="David" w:hint="cs"/>
          <w:sz w:val="24"/>
          <w:szCs w:val="24"/>
          <w:rtl/>
        </w:rPr>
        <w:t>.</w:t>
      </w:r>
      <w:r w:rsidR="00E056C0">
        <w:rPr>
          <w:rFonts w:ascii="David" w:hAnsi="David" w:cs="David" w:hint="cs"/>
          <w:sz w:val="24"/>
          <w:szCs w:val="24"/>
          <w:rtl/>
        </w:rPr>
        <w:t xml:space="preserve"> </w:t>
      </w:r>
      <w:r>
        <w:rPr>
          <w:rFonts w:ascii="David" w:hAnsi="David" w:cs="David"/>
          <w:sz w:val="24"/>
          <w:szCs w:val="24"/>
          <w:rtl/>
        </w:rPr>
        <w:t xml:space="preserve">הדברים נכונים ביתר שאת בענייננו, באשר עילות התביעה האישיות של המבקשים לא קיימות או מסופקות, וכן בשים לב לכך שבעניין חגי הנ"ל </w:t>
      </w:r>
      <w:r>
        <w:rPr>
          <w:rFonts w:ascii="David" w:hAnsi="David" w:cs="David"/>
          <w:b/>
          <w:bCs/>
          <w:sz w:val="24"/>
          <w:szCs w:val="24"/>
          <w:rtl/>
        </w:rPr>
        <w:t>לא פעלה המערערת כדי לקבל את נתוני המשיבה עובר להכרעה בבקשת האישור, ואילו בענייננו אף לאחר שהתקבלו בידי המבקשים נתוני המשיבה, אין בנתונים הקיימים כדי ללמד על קיומה של שיטה או מדיניות פסולה בה נוהגת המשיבה או כי קיימת קבוצה המצדיקה ניהול הליך ייצוגי</w:t>
      </w:r>
      <w:r>
        <w:rPr>
          <w:rFonts w:ascii="David" w:hAnsi="David" w:cs="David"/>
          <w:sz w:val="24"/>
          <w:szCs w:val="24"/>
          <w:rtl/>
        </w:rPr>
        <w:t>" (סעיף 16; ההדגשה אינה במקור).</w:t>
      </w:r>
    </w:p>
    <w:p w:rsidR="00EB5012" w:rsidRDefault="00EB5012" w:rsidP="00EB5012">
      <w:pPr>
        <w:pStyle w:val="ad"/>
        <w:spacing w:line="360" w:lineRule="auto"/>
        <w:ind w:left="360"/>
        <w:jc w:val="both"/>
        <w:rPr>
          <w:rFonts w:ascii="David" w:hAnsi="David" w:cs="David"/>
          <w:sz w:val="24"/>
          <w:szCs w:val="24"/>
        </w:rPr>
      </w:pPr>
    </w:p>
    <w:p w:rsidR="00EB5012" w:rsidRDefault="001859EA" w:rsidP="001859EA">
      <w:pPr>
        <w:pStyle w:val="ad"/>
        <w:numPr>
          <w:ilvl w:val="0"/>
          <w:numId w:val="2"/>
        </w:numPr>
        <w:spacing w:line="360" w:lineRule="auto"/>
        <w:jc w:val="both"/>
        <w:rPr>
          <w:rFonts w:ascii="David" w:hAnsi="David" w:cs="David"/>
          <w:sz w:val="24"/>
          <w:szCs w:val="24"/>
        </w:rPr>
      </w:pPr>
      <w:r>
        <w:rPr>
          <w:rFonts w:ascii="David" w:hAnsi="David" w:cs="David" w:hint="cs"/>
          <w:sz w:val="24"/>
          <w:szCs w:val="24"/>
          <w:rtl/>
        </w:rPr>
        <w:t xml:space="preserve">דברים דומים נקבעו </w:t>
      </w:r>
      <w:r w:rsidR="00EB5012">
        <w:rPr>
          <w:rFonts w:ascii="David" w:hAnsi="David" w:cs="David"/>
          <w:sz w:val="24"/>
          <w:szCs w:val="24"/>
          <w:rtl/>
        </w:rPr>
        <w:t xml:space="preserve">בעניין </w:t>
      </w:r>
      <w:r w:rsidR="00EB5012">
        <w:rPr>
          <w:rFonts w:ascii="David" w:hAnsi="David" w:cs="David"/>
          <w:b/>
          <w:bCs/>
          <w:sz w:val="24"/>
          <w:szCs w:val="24"/>
          <w:rtl/>
        </w:rPr>
        <w:t>כהן</w:t>
      </w:r>
      <w:r w:rsidR="00EB5012">
        <w:rPr>
          <w:rFonts w:ascii="David" w:hAnsi="David" w:cs="David"/>
          <w:sz w:val="24"/>
          <w:szCs w:val="24"/>
          <w:rtl/>
        </w:rPr>
        <w:t xml:space="preserve">: </w:t>
      </w:r>
    </w:p>
    <w:p w:rsidR="00EB5012" w:rsidRDefault="00EB5012" w:rsidP="00EB5012">
      <w:pPr>
        <w:pStyle w:val="ad"/>
        <w:spacing w:line="360" w:lineRule="auto"/>
        <w:ind w:left="360"/>
        <w:jc w:val="both"/>
        <w:rPr>
          <w:rFonts w:ascii="David" w:hAnsi="David" w:cs="David"/>
          <w:sz w:val="24"/>
          <w:szCs w:val="24"/>
          <w:rtl/>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 xml:space="preserve">"בנסיבות אלו פשיטא, כי אין מקום לאשר את הבקשה לתובענה ייצוגית, שכן לכל היותר, אף לשיטת המבקש אשר הודה בפה מלא בחקירתו הנגדית כי לא ידוע לו על מקרה אחר הדומה לשלו, מדובר בתקלה שהתרחשה אך כלפי המבקש בכך שהוא </w:t>
      </w:r>
      <w:r>
        <w:rPr>
          <w:rFonts w:ascii="David" w:hAnsi="David" w:cs="David"/>
          <w:sz w:val="24"/>
          <w:szCs w:val="24"/>
          <w:rtl/>
        </w:rPr>
        <w:lastRenderedPageBreak/>
        <w:t>חויב מעבר למוסכם עמו במפורש בשיחה עם נציג השירות. ביסוד התובענה הייצוגית עומד מצב דברים שבו תובע אחד (או מספר תובעים) תובע בשם קבוצה של יחידים בגין פגיעה שכל אחד מבני הקבוצה נפגע מהפרת חובה בעלת אופי זהה כלפיו...</w:t>
      </w:r>
    </w:p>
    <w:p w:rsidR="00EB5012" w:rsidRDefault="00EB5012" w:rsidP="00A3751E">
      <w:pPr>
        <w:pStyle w:val="ad"/>
        <w:spacing w:line="360" w:lineRule="auto"/>
        <w:ind w:left="651" w:right="567"/>
        <w:jc w:val="both"/>
        <w:rPr>
          <w:rFonts w:ascii="David" w:hAnsi="David" w:cs="David"/>
          <w:sz w:val="24"/>
          <w:szCs w:val="24"/>
          <w:u w:val="single"/>
          <w:rtl/>
        </w:rPr>
      </w:pPr>
      <w:r>
        <w:rPr>
          <w:rFonts w:ascii="David" w:hAnsi="David" w:cs="David"/>
          <w:sz w:val="24"/>
          <w:szCs w:val="24"/>
          <w:rtl/>
        </w:rPr>
        <w:t>בהעדר מנגנון לקביעה מי מבין חברי הקבוצה המיוצגת אכן הוטעה, התביעה אינה ראויה להתברר כתובענה ייצוגית...בוודאי אין מקום לאשר תובענה ייצוגית כשבית המשפט לא השתכנע כי קיימת קבוצה שכזו.</w:t>
      </w:r>
      <w:r w:rsidR="00A3751E">
        <w:rPr>
          <w:rFonts w:ascii="David" w:hAnsi="David" w:cs="David" w:hint="cs"/>
          <w:sz w:val="24"/>
          <w:szCs w:val="24"/>
          <w:rtl/>
        </w:rPr>
        <w:t>..</w:t>
      </w:r>
      <w:r>
        <w:rPr>
          <w:rFonts w:ascii="David" w:hAnsi="David" w:cs="David"/>
          <w:sz w:val="24"/>
          <w:szCs w:val="24"/>
          <w:rtl/>
        </w:rPr>
        <w:t>פשיטא, אפוא, כי כשלא הוכח קיומן של תביעות אישיות אחרות זולת זו של המבקש הספציפי, אין גם מה לצרף לתביעתו...במקרה זה, לא זו בלבד שכאמור, אין כל אינדיקציה כי טעויות מעין אלו נעשו כלפי לקוחותיה האחרים של המשיבה</w:t>
      </w:r>
      <w:r w:rsidR="00A3751E">
        <w:rPr>
          <w:rFonts w:ascii="David" w:hAnsi="David" w:cs="David" w:hint="cs"/>
          <w:sz w:val="24"/>
          <w:szCs w:val="24"/>
          <w:rtl/>
        </w:rPr>
        <w:t>...</w:t>
      </w:r>
      <w:r>
        <w:rPr>
          <w:rFonts w:ascii="David" w:hAnsi="David" w:cs="David"/>
          <w:sz w:val="24"/>
          <w:szCs w:val="24"/>
          <w:rtl/>
        </w:rPr>
        <w:t xml:space="preserve">גם אם אצא מנקודת הנחה כי טעויות כאלו מתרחשות לעתים במסגרת ההיקף הרב של העסקאות בהן נקשרת המשיבה עם לקוחותיה, אין מדובר בקבוצה שניתן להגדירה ככזו. לכן, בהעדר קבוצה שלאנשיה אינטרס משותף, לא מתקיים התנאי הבסיסי להכרתה של התביעה כתובענה ייצוגית. </w:t>
      </w: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b/>
          <w:bCs/>
          <w:sz w:val="24"/>
          <w:szCs w:val="24"/>
          <w:rtl/>
        </w:rPr>
        <w:t>על המבקש היה להצביע על קבוצה שנפגעה באופן דומה לדרך בו הוא נפגע לפי טענתו, והוא לא עשה כן. גם ברור מאליו, כי באמירה סתמית וכוללת כאילו "סביר הדבר" שהמשיבה נהגה באופן דומה כלפי לקוחות אחרים, אין די"</w:t>
      </w:r>
      <w:r>
        <w:rPr>
          <w:rFonts w:ascii="David" w:hAnsi="David" w:cs="David"/>
          <w:sz w:val="24"/>
          <w:szCs w:val="24"/>
          <w:rtl/>
        </w:rPr>
        <w:t xml:space="preserve"> (סעיף 19; ההדגשה אינה במקור).</w:t>
      </w:r>
    </w:p>
    <w:p w:rsidR="00EB5012" w:rsidRDefault="00EB5012" w:rsidP="00EB5012">
      <w:pPr>
        <w:pStyle w:val="ad"/>
        <w:spacing w:line="360" w:lineRule="auto"/>
        <w:ind w:left="360"/>
        <w:jc w:val="both"/>
        <w:rPr>
          <w:rFonts w:ascii="FrankRuehl" w:hAnsi="FrankRuehl" w:cs="FrankRuehl"/>
          <w:color w:val="000000"/>
          <w:sz w:val="28"/>
          <w:szCs w:val="28"/>
          <w:rtl/>
        </w:rPr>
      </w:pPr>
    </w:p>
    <w:p w:rsidR="00EB5012" w:rsidRDefault="00EB5012" w:rsidP="00EB5012">
      <w:pPr>
        <w:pStyle w:val="ad"/>
        <w:spacing w:line="360" w:lineRule="auto"/>
        <w:ind w:left="360"/>
        <w:jc w:val="both"/>
        <w:rPr>
          <w:rFonts w:ascii="David" w:hAnsi="David" w:cs="David"/>
          <w:sz w:val="24"/>
          <w:szCs w:val="24"/>
          <w:rtl/>
        </w:rPr>
      </w:pPr>
      <w:r>
        <w:rPr>
          <w:rFonts w:ascii="David" w:hAnsi="David" w:cs="David"/>
          <w:sz w:val="24"/>
          <w:szCs w:val="24"/>
          <w:rtl/>
        </w:rPr>
        <w:t>לקביעה דומה ראו ת"צ (מחוזי ת"א) 27578-08-15‏ ‏</w:t>
      </w:r>
      <w:r>
        <w:rPr>
          <w:rFonts w:ascii="David" w:hAnsi="David" w:cs="David"/>
          <w:b/>
          <w:bCs/>
          <w:sz w:val="24"/>
          <w:szCs w:val="24"/>
          <w:rtl/>
        </w:rPr>
        <w:t>דהרי נ' מנקס אונליין טריידינג בע"מ,</w:t>
      </w:r>
      <w:r>
        <w:rPr>
          <w:rFonts w:ascii="David" w:hAnsi="David" w:cs="David"/>
          <w:sz w:val="24"/>
          <w:szCs w:val="24"/>
          <w:rtl/>
        </w:rPr>
        <w:t xml:space="preserve"> פסקה 27 (22.1.19) (הערעור נמחק): </w:t>
      </w:r>
    </w:p>
    <w:p w:rsidR="00EB5012" w:rsidRDefault="00EB5012" w:rsidP="00EB5012">
      <w:pPr>
        <w:pStyle w:val="ad"/>
        <w:spacing w:line="360" w:lineRule="auto"/>
        <w:ind w:left="360"/>
        <w:jc w:val="both"/>
        <w:rPr>
          <w:rFonts w:ascii="David" w:hAnsi="David" w:cs="David"/>
          <w:sz w:val="24"/>
          <w:szCs w:val="24"/>
          <w:rtl/>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 xml:space="preserve">"כדי לאשר תובענה ייצוגית לא די בהוכחת קיומם של חלק מהתנאים וכך גם אם הוצג חומר שמצביע לכאורה על הפרה הרי שאין ההפרה עומדת כשלעצמה </w:t>
      </w:r>
      <w:r>
        <w:rPr>
          <w:rFonts w:ascii="David" w:hAnsi="David" w:cs="David"/>
          <w:b/>
          <w:bCs/>
          <w:sz w:val="24"/>
          <w:szCs w:val="24"/>
          <w:rtl/>
        </w:rPr>
        <w:t>ויש להוכיח קיומה של קבוצה שהשאלה המועלית משותפת לכלל חבריה, וכי מדובר בתופעה פסולה נרחבת המצדיקה אישור התובענה כייצוגית...</w:t>
      </w:r>
      <w:r>
        <w:rPr>
          <w:rFonts w:ascii="David" w:hAnsi="David" w:cs="David"/>
          <w:sz w:val="24"/>
          <w:szCs w:val="24"/>
          <w:rtl/>
        </w:rPr>
        <w:t xml:space="preserve">וכהגדרת המבקשים קיומה של "קבוצת נמענים אליהם שלחו המשיבים מסרונים בניגוד לחוק התקשורת". לצורך כך אין די כמובן בהצגת שתי הודעות שכל אחת מהן נתקבלה אצל נמען אחד שלא נתן הסכמתו לכך. כפי שכבר ציינתי, </w:t>
      </w:r>
      <w:r>
        <w:rPr>
          <w:rFonts w:ascii="David" w:hAnsi="David" w:cs="David"/>
          <w:b/>
          <w:bCs/>
          <w:sz w:val="24"/>
          <w:szCs w:val="24"/>
          <w:rtl/>
        </w:rPr>
        <w:t>המבקשים לא הוכיחו ברמה הנדרשת כי מה שאירע להם, קבלת המסרון מהמשיבה ובו דבר פרסומת, ללא שנתנו למשיבה הסכמתם מראש, אירע גם ל'קבוצת' תובעים להם עילת תביעה המצדיקה בירור התביעה כייצוגית</w:t>
      </w:r>
      <w:r>
        <w:rPr>
          <w:rFonts w:ascii="David" w:hAnsi="David" w:cs="David"/>
          <w:sz w:val="24"/>
          <w:szCs w:val="24"/>
          <w:rtl/>
        </w:rPr>
        <w:t>." (ההדגשה איננה במקור)</w:t>
      </w:r>
    </w:p>
    <w:p w:rsidR="00EB5012" w:rsidRDefault="00EB5012" w:rsidP="00EB5012">
      <w:pPr>
        <w:pStyle w:val="ad"/>
        <w:spacing w:line="360" w:lineRule="auto"/>
        <w:ind w:left="360"/>
        <w:jc w:val="both"/>
        <w:rPr>
          <w:rFonts w:ascii="David" w:hAnsi="David" w:cs="David"/>
          <w:sz w:val="24"/>
          <w:szCs w:val="24"/>
          <w:highlight w:val="yellow"/>
          <w:rtl/>
        </w:rPr>
      </w:pPr>
    </w:p>
    <w:p w:rsidR="00EB5012" w:rsidRDefault="00EB5012" w:rsidP="00EB5012">
      <w:pPr>
        <w:pStyle w:val="ad"/>
        <w:numPr>
          <w:ilvl w:val="0"/>
          <w:numId w:val="2"/>
        </w:numPr>
        <w:spacing w:line="360" w:lineRule="auto"/>
        <w:jc w:val="both"/>
        <w:rPr>
          <w:rFonts w:ascii="David" w:hAnsi="David" w:cs="David"/>
          <w:sz w:val="24"/>
          <w:szCs w:val="24"/>
        </w:rPr>
      </w:pPr>
      <w:r>
        <w:rPr>
          <w:rFonts w:ascii="David" w:hAnsi="David" w:cs="David"/>
          <w:sz w:val="24"/>
          <w:szCs w:val="24"/>
          <w:rtl/>
        </w:rPr>
        <w:lastRenderedPageBreak/>
        <w:t xml:space="preserve">כל שהוכיח המבקש בסבירות הנדרשת לפי סעיף 8(א) לחוק תובענות ייצוגיות הוא כי קיימת קבוצה שאליה נשלחו ככל הנראה הודעות פרסומת מטעם המפיקים (המבקש הראה הודעות שנשלחו אליו ואל חברו בלבד), </w:t>
      </w:r>
      <w:r>
        <w:rPr>
          <w:rFonts w:ascii="David" w:hAnsi="David" w:cs="David"/>
          <w:b/>
          <w:bCs/>
          <w:sz w:val="24"/>
          <w:szCs w:val="24"/>
          <w:rtl/>
        </w:rPr>
        <w:t>בתקופה מסוימת, בקשר לליין המסיבות.</w:t>
      </w:r>
      <w:r>
        <w:rPr>
          <w:rFonts w:ascii="David" w:hAnsi="David" w:cs="David"/>
          <w:sz w:val="24"/>
          <w:szCs w:val="24"/>
          <w:rtl/>
        </w:rPr>
        <w:t xml:space="preserve"> זאת, בהתאם להסכם, </w:t>
      </w:r>
      <w:r>
        <w:rPr>
          <w:rFonts w:ascii="David" w:hAnsi="David" w:cs="David"/>
          <w:b/>
          <w:bCs/>
          <w:sz w:val="24"/>
          <w:szCs w:val="24"/>
          <w:rtl/>
        </w:rPr>
        <w:t>בימי חמישי בחודשים אפריל - ספטמבר 2021 בלבד</w:t>
      </w:r>
      <w:r>
        <w:rPr>
          <w:rFonts w:ascii="David" w:hAnsi="David" w:cs="David"/>
          <w:sz w:val="24"/>
          <w:szCs w:val="24"/>
          <w:rtl/>
        </w:rPr>
        <w:t xml:space="preserve">. </w:t>
      </w:r>
    </w:p>
    <w:p w:rsidR="00EB5012" w:rsidRDefault="00EB5012" w:rsidP="00EB5012">
      <w:pPr>
        <w:pStyle w:val="ad"/>
        <w:spacing w:line="360" w:lineRule="auto"/>
        <w:ind w:left="360"/>
        <w:jc w:val="both"/>
        <w:rPr>
          <w:rFonts w:ascii="David" w:hAnsi="David" w:cs="David"/>
          <w:sz w:val="24"/>
          <w:szCs w:val="24"/>
        </w:rPr>
      </w:pPr>
    </w:p>
    <w:p w:rsidR="00EB5012" w:rsidRDefault="00EB5012" w:rsidP="00EB5012">
      <w:pPr>
        <w:pStyle w:val="ad"/>
        <w:spacing w:line="360" w:lineRule="auto"/>
        <w:ind w:left="360"/>
        <w:jc w:val="both"/>
        <w:rPr>
          <w:rFonts w:ascii="David" w:hAnsi="David" w:cs="David"/>
          <w:sz w:val="24"/>
          <w:szCs w:val="24"/>
          <w:rtl/>
        </w:rPr>
      </w:pPr>
      <w:r>
        <w:rPr>
          <w:rFonts w:ascii="David" w:hAnsi="David" w:cs="David"/>
          <w:sz w:val="24"/>
          <w:szCs w:val="24"/>
          <w:rtl/>
        </w:rPr>
        <w:t xml:space="preserve">אמנם בשלב זה אין הכרח להוכיח את היקפה המדויק של הקבוצה ואת שיעור הנזק, אך עדיין כאמור בפסיקה לעיל </w:t>
      </w:r>
      <w:r w:rsidRPr="002011FD">
        <w:rPr>
          <w:rFonts w:ascii="David" w:hAnsi="David" w:cs="David"/>
          <w:b/>
          <w:bCs/>
          <w:sz w:val="24"/>
          <w:szCs w:val="24"/>
          <w:rtl/>
        </w:rPr>
        <w:t>יש צורך להראות  קיומה של קבוצה, כי הנתבע נוהג בשיטה פסולה וכי יש לקבוצה עילת תביעה, באופן שיצדיק את אישור התובענה כייצוגית</w:t>
      </w:r>
      <w:r>
        <w:rPr>
          <w:rFonts w:ascii="David" w:hAnsi="David" w:cs="David"/>
          <w:sz w:val="24"/>
          <w:szCs w:val="24"/>
          <w:rtl/>
        </w:rPr>
        <w:t>. על המבקש להצביע על קבוצה שנפגעה באופן דומה לדרך בו הוא נפגע, וזאת לא עשה המבקש.</w:t>
      </w:r>
    </w:p>
    <w:p w:rsidR="00EB5012" w:rsidRDefault="00EB5012" w:rsidP="00EB5012">
      <w:pPr>
        <w:pStyle w:val="ad"/>
        <w:rPr>
          <w:rFonts w:ascii="David" w:hAnsi="David" w:cs="David"/>
          <w:sz w:val="24"/>
          <w:szCs w:val="24"/>
        </w:rPr>
      </w:pPr>
    </w:p>
    <w:p w:rsidR="00EB5012" w:rsidRDefault="00EB5012" w:rsidP="002011FD">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ודוק, כאמור בעניין </w:t>
      </w:r>
      <w:r>
        <w:rPr>
          <w:rFonts w:ascii="David" w:hAnsi="David" w:cs="David"/>
          <w:b/>
          <w:bCs/>
          <w:sz w:val="24"/>
          <w:szCs w:val="24"/>
          <w:rtl/>
        </w:rPr>
        <w:t>המשביר</w:t>
      </w:r>
      <w:r>
        <w:rPr>
          <w:rFonts w:ascii="David" w:hAnsi="David" w:cs="David"/>
          <w:sz w:val="24"/>
          <w:szCs w:val="24"/>
          <w:rtl/>
        </w:rPr>
        <w:t xml:space="preserve">, המבקש יכול היה לבקש במסגרת בקשת האישור לעתור לגילוי מסמכים בנוגע </w:t>
      </w:r>
      <w:r>
        <w:rPr>
          <w:rFonts w:ascii="David" w:hAnsi="David" w:cs="David"/>
          <w:b/>
          <w:bCs/>
          <w:sz w:val="24"/>
          <w:szCs w:val="24"/>
          <w:rtl/>
        </w:rPr>
        <w:t>להסכמים נוספים עם מפיקים אחרים</w:t>
      </w:r>
      <w:r>
        <w:rPr>
          <w:rFonts w:ascii="David" w:hAnsi="David" w:cs="David"/>
          <w:sz w:val="24"/>
          <w:szCs w:val="24"/>
          <w:rtl/>
        </w:rPr>
        <w:t xml:space="preserve">, בהם התקשרה המשיבה 1 בקשר למועדון ולאירועים בו, אך הדבר לא נעשה. המבקש היה יכול לעתור לגילוי זהות מפיקים נוספים ו"ליין מסיבות" נוסף </w:t>
      </w:r>
      <w:r>
        <w:rPr>
          <w:rFonts w:ascii="David" w:hAnsi="David" w:cs="David"/>
          <w:b/>
          <w:bCs/>
          <w:sz w:val="24"/>
          <w:szCs w:val="24"/>
          <w:rtl/>
        </w:rPr>
        <w:t>בתקופות אחרות מעבר לתקופת ההסכם</w:t>
      </w:r>
      <w:r>
        <w:rPr>
          <w:rFonts w:ascii="David" w:hAnsi="David" w:cs="David"/>
          <w:sz w:val="24"/>
          <w:szCs w:val="24"/>
          <w:rtl/>
        </w:rPr>
        <w:t xml:space="preserve"> – אך גם זאת לא נעשה. </w:t>
      </w:r>
    </w:p>
    <w:p w:rsidR="00EB5012" w:rsidRDefault="00EB5012" w:rsidP="00EB5012">
      <w:pPr>
        <w:pStyle w:val="ad"/>
        <w:spacing w:line="360" w:lineRule="auto"/>
        <w:ind w:left="360"/>
        <w:jc w:val="both"/>
        <w:rPr>
          <w:rFonts w:ascii="David" w:hAnsi="David" w:cs="David"/>
          <w:sz w:val="24"/>
          <w:szCs w:val="24"/>
          <w:rtl/>
        </w:rPr>
      </w:pPr>
    </w:p>
    <w:p w:rsidR="00EB5012" w:rsidRDefault="00EB5012" w:rsidP="00EB5012">
      <w:pPr>
        <w:pStyle w:val="ad"/>
        <w:spacing w:line="360" w:lineRule="auto"/>
        <w:ind w:left="360"/>
        <w:jc w:val="both"/>
        <w:rPr>
          <w:rFonts w:ascii="David" w:hAnsi="David" w:cs="David"/>
          <w:sz w:val="24"/>
          <w:szCs w:val="24"/>
          <w:rtl/>
        </w:rPr>
      </w:pPr>
      <w:r>
        <w:rPr>
          <w:rFonts w:ascii="David" w:hAnsi="David" w:cs="David"/>
          <w:sz w:val="24"/>
          <w:szCs w:val="24"/>
          <w:rtl/>
        </w:rPr>
        <w:t xml:space="preserve">לעניין זה ראו רע"א 3489/09 </w:t>
      </w:r>
      <w:r>
        <w:rPr>
          <w:rFonts w:ascii="David" w:hAnsi="David" w:cs="David"/>
          <w:b/>
          <w:bCs/>
          <w:sz w:val="24"/>
          <w:szCs w:val="24"/>
          <w:rtl/>
        </w:rPr>
        <w:t>מגדל נ' חברת ציפוי מתכות עמק זבולון בע"מ</w:t>
      </w:r>
      <w:r>
        <w:rPr>
          <w:rFonts w:ascii="David" w:hAnsi="David" w:cs="David"/>
          <w:sz w:val="24"/>
          <w:szCs w:val="24"/>
          <w:rtl/>
        </w:rPr>
        <w:t xml:space="preserve">, פסקה 45 (11.4.13): </w:t>
      </w:r>
    </w:p>
    <w:p w:rsidR="00EB5012" w:rsidRDefault="00EB5012" w:rsidP="00EB5012">
      <w:pPr>
        <w:pStyle w:val="ad"/>
        <w:spacing w:line="360" w:lineRule="auto"/>
        <w:ind w:left="360"/>
        <w:jc w:val="both"/>
        <w:rPr>
          <w:rFonts w:ascii="David" w:hAnsi="David" w:cs="David"/>
          <w:sz w:val="24"/>
          <w:szCs w:val="24"/>
          <w:rtl/>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"הליך אישורה של תובענה ייצוגית שונה מהליכי ביניים אחרים, והשפעתו עשויה להיות קריטית מבחינתם של הצדדים להליך. בשל ההשלכות הנודעות להליך זה ראוי כי הדיון בבקשה לאישור התובענה כייצוגית יהיה מעמיק, תוך בחינה ראויה – עובדתית ומשפטית – של תנאי הסף הנדרשים על-מנת לאשר את התובענה כייצוגית. במקרים רבים עיון וגילוי מסמכים הם הכרחיים על-מנת להכריע בשאלות אלו."</w:t>
      </w:r>
    </w:p>
    <w:p w:rsidR="002011FD" w:rsidRDefault="002011FD" w:rsidP="002011FD">
      <w:pPr>
        <w:pStyle w:val="ad"/>
        <w:spacing w:line="360" w:lineRule="auto"/>
        <w:ind w:left="360"/>
        <w:jc w:val="both"/>
        <w:rPr>
          <w:rFonts w:ascii="David" w:hAnsi="David" w:cs="David"/>
          <w:sz w:val="24"/>
          <w:szCs w:val="24"/>
          <w:rtl/>
        </w:rPr>
      </w:pPr>
    </w:p>
    <w:p w:rsidR="002011FD" w:rsidRDefault="002011FD" w:rsidP="002011FD">
      <w:pPr>
        <w:pStyle w:val="ad"/>
        <w:spacing w:line="360" w:lineRule="auto"/>
        <w:ind w:left="360"/>
        <w:jc w:val="both"/>
        <w:rPr>
          <w:rFonts w:ascii="David" w:hAnsi="David" w:cs="David"/>
          <w:sz w:val="24"/>
          <w:szCs w:val="24"/>
          <w:rtl/>
        </w:rPr>
      </w:pPr>
      <w:r>
        <w:rPr>
          <w:rFonts w:ascii="David" w:hAnsi="David" w:cs="David"/>
          <w:sz w:val="24"/>
          <w:szCs w:val="24"/>
          <w:rtl/>
        </w:rPr>
        <w:t xml:space="preserve">וכן ע"א 5378/11 </w:t>
      </w:r>
      <w:r>
        <w:rPr>
          <w:rFonts w:ascii="David" w:hAnsi="David" w:cs="David"/>
          <w:b/>
          <w:bCs/>
          <w:sz w:val="24"/>
          <w:szCs w:val="24"/>
          <w:rtl/>
        </w:rPr>
        <w:t>פרנק נ' אולסייל</w:t>
      </w:r>
      <w:r>
        <w:rPr>
          <w:rFonts w:ascii="David" w:hAnsi="David" w:cs="David"/>
          <w:sz w:val="24"/>
          <w:szCs w:val="24"/>
          <w:rtl/>
        </w:rPr>
        <w:t xml:space="preserve"> (22.9.14): </w:t>
      </w:r>
    </w:p>
    <w:p w:rsidR="004011FF" w:rsidRDefault="004011FF" w:rsidP="002011FD">
      <w:pPr>
        <w:pStyle w:val="ad"/>
        <w:spacing w:line="360" w:lineRule="auto"/>
        <w:ind w:left="360"/>
        <w:jc w:val="both"/>
        <w:rPr>
          <w:rFonts w:ascii="David" w:hAnsi="David" w:cs="David"/>
          <w:sz w:val="24"/>
          <w:szCs w:val="24"/>
          <w:rtl/>
        </w:rPr>
      </w:pPr>
    </w:p>
    <w:p w:rsidR="002011FD" w:rsidRDefault="002011FD" w:rsidP="002011FD">
      <w:pPr>
        <w:pStyle w:val="ad"/>
        <w:spacing w:line="360" w:lineRule="auto"/>
        <w:ind w:left="651" w:right="567"/>
        <w:jc w:val="both"/>
        <w:rPr>
          <w:rFonts w:ascii="David" w:hAnsi="David" w:cs="David"/>
          <w:sz w:val="24"/>
          <w:szCs w:val="24"/>
          <w:rtl/>
        </w:rPr>
      </w:pPr>
      <w:r>
        <w:rPr>
          <w:rFonts w:ascii="David" w:hAnsi="David" w:cs="David"/>
          <w:sz w:val="24"/>
          <w:szCs w:val="24"/>
          <w:rtl/>
        </w:rPr>
        <w:t>"אחד הכלים הדיוניים שבאמצעותם יכול המבקש לגשר במידה לא מבוטלת על פערי המידע הוא גילוי ועיון במסמכים של הצד שכנגד כבר בשלב של בקשת האישור. ואולם, במקרה שלפנינו ומסיבות השמורות עמם, בחרו המערערים שלא לעשות שימוש בכלי דיוני חשוב זה..."</w:t>
      </w:r>
    </w:p>
    <w:p w:rsidR="00974517" w:rsidRDefault="00974517" w:rsidP="00EB5012">
      <w:pPr>
        <w:pStyle w:val="ad"/>
        <w:spacing w:line="360" w:lineRule="auto"/>
        <w:ind w:left="651" w:right="567"/>
        <w:jc w:val="both"/>
        <w:rPr>
          <w:rFonts w:ascii="David" w:hAnsi="David" w:cs="David"/>
          <w:sz w:val="24"/>
          <w:szCs w:val="24"/>
          <w:rtl/>
        </w:rPr>
      </w:pPr>
    </w:p>
    <w:p w:rsidR="00ED5D93" w:rsidRDefault="00ED5D93" w:rsidP="00EB5012">
      <w:pPr>
        <w:pStyle w:val="ad"/>
        <w:spacing w:line="360" w:lineRule="auto"/>
        <w:ind w:left="651" w:right="567"/>
        <w:jc w:val="both"/>
        <w:rPr>
          <w:rFonts w:ascii="David" w:hAnsi="David" w:cs="David"/>
          <w:sz w:val="24"/>
          <w:szCs w:val="24"/>
          <w:rtl/>
        </w:rPr>
      </w:pPr>
    </w:p>
    <w:p w:rsidR="00EB5012" w:rsidRDefault="00EB5012" w:rsidP="00ED5D93">
      <w:pPr>
        <w:pStyle w:val="ad"/>
        <w:numPr>
          <w:ilvl w:val="0"/>
          <w:numId w:val="2"/>
        </w:numPr>
        <w:spacing w:line="360" w:lineRule="auto"/>
        <w:jc w:val="both"/>
        <w:rPr>
          <w:rFonts w:ascii="David" w:hAnsi="David" w:cs="David"/>
          <w:b/>
          <w:bCs/>
          <w:sz w:val="24"/>
          <w:szCs w:val="24"/>
          <w:rtl/>
        </w:rPr>
      </w:pPr>
      <w:r>
        <w:rPr>
          <w:rFonts w:ascii="David" w:hAnsi="David" w:cs="David"/>
          <w:sz w:val="24"/>
          <w:szCs w:val="24"/>
          <w:rtl/>
        </w:rPr>
        <w:lastRenderedPageBreak/>
        <w:t xml:space="preserve">המבקש </w:t>
      </w:r>
      <w:r w:rsidR="00ED5D93">
        <w:rPr>
          <w:rFonts w:ascii="David" w:hAnsi="David" w:cs="David" w:hint="cs"/>
          <w:sz w:val="24"/>
          <w:szCs w:val="24"/>
          <w:rtl/>
        </w:rPr>
        <w:t xml:space="preserve">כשל מלהוכיח קיומה של </w:t>
      </w:r>
      <w:r>
        <w:rPr>
          <w:rFonts w:ascii="David" w:hAnsi="David" w:cs="David"/>
          <w:sz w:val="24"/>
          <w:szCs w:val="24"/>
          <w:rtl/>
        </w:rPr>
        <w:t xml:space="preserve">קבוצה </w:t>
      </w:r>
      <w:r w:rsidR="00ED5D93">
        <w:rPr>
          <w:rFonts w:ascii="David" w:hAnsi="David" w:cs="David" w:hint="cs"/>
          <w:sz w:val="24"/>
          <w:szCs w:val="24"/>
          <w:rtl/>
        </w:rPr>
        <w:t xml:space="preserve">שקיבלה הודעות פרסומת בתקופה </w:t>
      </w:r>
      <w:r>
        <w:rPr>
          <w:rFonts w:ascii="David" w:hAnsi="David" w:cs="David"/>
          <w:sz w:val="24"/>
          <w:szCs w:val="24"/>
          <w:rtl/>
        </w:rPr>
        <w:t xml:space="preserve">החורגת מהתקופה </w:t>
      </w:r>
      <w:r w:rsidR="00ED5D93">
        <w:rPr>
          <w:rFonts w:ascii="David" w:hAnsi="David" w:cs="David" w:hint="cs"/>
          <w:sz w:val="24"/>
          <w:szCs w:val="24"/>
          <w:rtl/>
        </w:rPr>
        <w:t xml:space="preserve">בת מספר חודשים </w:t>
      </w:r>
      <w:r>
        <w:rPr>
          <w:rFonts w:ascii="David" w:hAnsi="David" w:cs="David"/>
          <w:sz w:val="24"/>
          <w:szCs w:val="24"/>
          <w:rtl/>
        </w:rPr>
        <w:t xml:space="preserve">בה פעל ליין המסיבות שהופעל על ידי המפיקים. המבקש הוכיח באופן סביר רק את קיומה של קבוצה שאליה ייתכן ונשלחו הודעות פרסומת בתקופת ליין המסיבות, ותו לא. </w:t>
      </w:r>
    </w:p>
    <w:p w:rsidR="00EB5012" w:rsidRDefault="00EB5012" w:rsidP="00EB5012">
      <w:pPr>
        <w:pStyle w:val="ad"/>
        <w:spacing w:line="360" w:lineRule="auto"/>
        <w:ind w:left="360"/>
        <w:jc w:val="both"/>
        <w:rPr>
          <w:rFonts w:ascii="David" w:hAnsi="David" w:cs="David"/>
          <w:sz w:val="24"/>
          <w:szCs w:val="24"/>
        </w:rPr>
      </w:pPr>
    </w:p>
    <w:p w:rsidR="00EB5012" w:rsidRDefault="00EB5012" w:rsidP="00EB5012">
      <w:pPr>
        <w:pStyle w:val="ad"/>
        <w:spacing w:line="360" w:lineRule="auto"/>
        <w:ind w:left="360"/>
        <w:jc w:val="both"/>
        <w:rPr>
          <w:rFonts w:ascii="David" w:hAnsi="David" w:cs="David"/>
          <w:b/>
          <w:bCs/>
          <w:sz w:val="24"/>
          <w:szCs w:val="24"/>
          <w:rtl/>
        </w:rPr>
      </w:pPr>
      <w:r>
        <w:rPr>
          <w:rFonts w:ascii="David" w:hAnsi="David" w:cs="David"/>
          <w:sz w:val="24"/>
          <w:szCs w:val="24"/>
          <w:rtl/>
        </w:rPr>
        <w:t>לפיכך</w:t>
      </w:r>
      <w:r w:rsidR="00ED5D93">
        <w:rPr>
          <w:rFonts w:ascii="David" w:hAnsi="David" w:cs="David" w:hint="cs"/>
          <w:sz w:val="24"/>
          <w:szCs w:val="24"/>
          <w:rtl/>
        </w:rPr>
        <w:t>,</w:t>
      </w:r>
      <w:r>
        <w:rPr>
          <w:rFonts w:ascii="David" w:hAnsi="David" w:cs="David"/>
          <w:sz w:val="24"/>
          <w:szCs w:val="24"/>
          <w:rtl/>
        </w:rPr>
        <w:t xml:space="preserve"> ראוי להכיר בקבוצה מצומצמת יותר מזו שצוינה בבקשת האישור, והיא זו שקיבלה הודעות פרסומת מאת המפיקים </w:t>
      </w:r>
      <w:r>
        <w:rPr>
          <w:rFonts w:ascii="David" w:hAnsi="David" w:cs="David"/>
          <w:b/>
          <w:bCs/>
          <w:sz w:val="24"/>
          <w:szCs w:val="24"/>
          <w:rtl/>
        </w:rPr>
        <w:t>בתקופת ההסכם בו אירע ליין המסיבות, בימי חמישי בחודשים אפריל - ספטמבר 2021 בלבד.</w:t>
      </w:r>
    </w:p>
    <w:p w:rsidR="00EB5012" w:rsidRDefault="00EB5012" w:rsidP="00EB5012">
      <w:pPr>
        <w:pStyle w:val="ad"/>
        <w:spacing w:line="360" w:lineRule="auto"/>
        <w:ind w:left="360"/>
        <w:jc w:val="both"/>
        <w:rPr>
          <w:rFonts w:ascii="David" w:hAnsi="David" w:cs="David"/>
          <w:b/>
          <w:bCs/>
          <w:sz w:val="24"/>
          <w:szCs w:val="24"/>
        </w:rPr>
      </w:pPr>
    </w:p>
    <w:p w:rsidR="00EB5012" w:rsidRDefault="00EB5012" w:rsidP="00EB5012">
      <w:pPr>
        <w:spacing w:line="360" w:lineRule="auto"/>
        <w:jc w:val="both"/>
        <w:rPr>
          <w:rFonts w:ascii="David" w:hAnsi="David"/>
          <w:b/>
          <w:bCs/>
          <w:sz w:val="28"/>
          <w:szCs w:val="28"/>
          <w:u w:val="single"/>
        </w:rPr>
      </w:pPr>
      <w:r>
        <w:rPr>
          <w:rFonts w:ascii="David" w:hAnsi="David"/>
          <w:b/>
          <w:bCs/>
          <w:sz w:val="28"/>
          <w:szCs w:val="28"/>
          <w:rtl/>
        </w:rPr>
        <w:t xml:space="preserve">ח. </w:t>
      </w:r>
      <w:r>
        <w:rPr>
          <w:rFonts w:ascii="David" w:hAnsi="David"/>
          <w:b/>
          <w:bCs/>
          <w:sz w:val="28"/>
          <w:szCs w:val="28"/>
          <w:u w:val="single"/>
          <w:rtl/>
        </w:rPr>
        <w:t>ייצוג הקבוצה על ידי ב"כ המבקש</w:t>
      </w:r>
    </w:p>
    <w:p w:rsidR="00EB5012" w:rsidRDefault="00EB5012" w:rsidP="00EB5012">
      <w:pPr>
        <w:pStyle w:val="ad"/>
        <w:spacing w:line="360" w:lineRule="auto"/>
        <w:ind w:left="360"/>
        <w:jc w:val="both"/>
        <w:rPr>
          <w:rFonts w:ascii="David" w:hAnsi="David" w:cs="David"/>
          <w:b/>
          <w:bCs/>
          <w:sz w:val="24"/>
          <w:szCs w:val="24"/>
        </w:rPr>
      </w:pPr>
    </w:p>
    <w:p w:rsidR="002576AC"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המשיבים טענו בתשובה כי ב"כ המבקש לא כשיר לייצג את הקבוצה והפנו בין היתר לרע"א 7706/22 ‏</w:t>
      </w:r>
      <w:r>
        <w:rPr>
          <w:rFonts w:ascii="David" w:hAnsi="David" w:cs="David"/>
          <w:b/>
          <w:bCs/>
          <w:sz w:val="24"/>
          <w:szCs w:val="24"/>
          <w:rtl/>
        </w:rPr>
        <w:t>סינגר אטיה נ' אייל אבידן</w:t>
      </w:r>
      <w:r>
        <w:rPr>
          <w:rFonts w:ascii="David" w:hAnsi="David" w:cs="David"/>
          <w:sz w:val="24"/>
          <w:szCs w:val="24"/>
          <w:rtl/>
        </w:rPr>
        <w:t xml:space="preserve"> (7.3.23) (להלן – עניין </w:t>
      </w:r>
      <w:r>
        <w:rPr>
          <w:rFonts w:ascii="David" w:hAnsi="David" w:cs="David"/>
          <w:b/>
          <w:bCs/>
          <w:sz w:val="24"/>
          <w:szCs w:val="24"/>
          <w:rtl/>
        </w:rPr>
        <w:t>אטיה</w:t>
      </w:r>
      <w:r>
        <w:rPr>
          <w:rFonts w:ascii="David" w:hAnsi="David" w:cs="David"/>
          <w:sz w:val="24"/>
          <w:szCs w:val="24"/>
          <w:rtl/>
        </w:rPr>
        <w:t xml:space="preserve">), שעסק בסכסוך שכ"ט בין ב"כ המבקש בהליך שלפניי לבין לקוחתו. </w:t>
      </w:r>
    </w:p>
    <w:p w:rsidR="002011FD" w:rsidRDefault="002011FD" w:rsidP="002576AC">
      <w:pPr>
        <w:pStyle w:val="ad"/>
        <w:spacing w:after="120" w:line="360" w:lineRule="auto"/>
        <w:ind w:left="360"/>
        <w:jc w:val="both"/>
        <w:rPr>
          <w:rFonts w:ascii="David" w:hAnsi="David" w:cs="David"/>
          <w:sz w:val="24"/>
          <w:szCs w:val="24"/>
          <w:rtl/>
        </w:rPr>
      </w:pPr>
    </w:p>
    <w:p w:rsidR="00EB5012" w:rsidRDefault="00EB5012" w:rsidP="002576AC">
      <w:pPr>
        <w:pStyle w:val="ad"/>
        <w:spacing w:after="120" w:line="360" w:lineRule="auto"/>
        <w:ind w:left="360"/>
        <w:jc w:val="both"/>
        <w:rPr>
          <w:rFonts w:ascii="David" w:hAnsi="David" w:cs="David"/>
          <w:sz w:val="24"/>
          <w:szCs w:val="24"/>
          <w:rtl/>
        </w:rPr>
      </w:pPr>
      <w:r>
        <w:rPr>
          <w:rFonts w:ascii="David" w:hAnsi="David" w:cs="David"/>
          <w:sz w:val="24"/>
          <w:szCs w:val="24"/>
          <w:rtl/>
        </w:rPr>
        <w:t xml:space="preserve">במקרה זה נקבע כי הסדר בהסכם ייצוג בין עורך דין ללקוח, שקובע שכר טרחה מותנה ולצדו הוראה שקובעת מה ייעשה אם הלקוח יפטר את עורך הדין לפני גמר ההתדיינות מכל סיבה שהיא, ואשר מחייבת את הלקוח לשלם לעורך הדין סכום כסף קצוב שעולה במידה ניכרת על השכר הראוי - נוגד את תקנת הציבור ודינו בטלות. </w:t>
      </w:r>
      <w:r>
        <w:rPr>
          <w:rFonts w:ascii="David" w:hAnsi="David" w:cs="David"/>
          <w:sz w:val="24"/>
          <w:szCs w:val="24"/>
        </w:rPr>
        <w:t> </w:t>
      </w:r>
      <w:r>
        <w:rPr>
          <w:rFonts w:ascii="David" w:hAnsi="David" w:cs="David"/>
          <w:sz w:val="24"/>
          <w:szCs w:val="24"/>
          <w:rtl/>
        </w:rPr>
        <w:t xml:space="preserve"> </w:t>
      </w:r>
    </w:p>
    <w:p w:rsidR="006F25F5" w:rsidRDefault="006F25F5" w:rsidP="002576AC">
      <w:pPr>
        <w:pStyle w:val="ad"/>
        <w:spacing w:after="120" w:line="360" w:lineRule="auto"/>
        <w:ind w:left="360"/>
        <w:jc w:val="both"/>
        <w:rPr>
          <w:rFonts w:ascii="David" w:hAnsi="David" w:cs="David"/>
          <w:sz w:val="24"/>
          <w:szCs w:val="24"/>
          <w:rtl/>
        </w:rPr>
      </w:pPr>
    </w:p>
    <w:p w:rsidR="00EB5012" w:rsidRPr="001225E3" w:rsidRDefault="00EB5012" w:rsidP="00A3751E">
      <w:pPr>
        <w:pStyle w:val="ad"/>
        <w:numPr>
          <w:ilvl w:val="0"/>
          <w:numId w:val="2"/>
        </w:numPr>
        <w:spacing w:after="120" w:line="360" w:lineRule="auto"/>
        <w:jc w:val="both"/>
        <w:rPr>
          <w:rFonts w:ascii="David" w:hAnsi="David" w:cs="David"/>
          <w:sz w:val="24"/>
          <w:szCs w:val="24"/>
          <w:rtl/>
        </w:rPr>
      </w:pPr>
      <w:r>
        <w:rPr>
          <w:rFonts w:ascii="David" w:hAnsi="David" w:cs="David"/>
          <w:color w:val="000000"/>
          <w:sz w:val="24"/>
          <w:szCs w:val="24"/>
          <w:rtl/>
        </w:rPr>
        <w:t xml:space="preserve">בע"א 1582/20 </w:t>
      </w:r>
      <w:r>
        <w:rPr>
          <w:rFonts w:ascii="David" w:hAnsi="David" w:cs="David"/>
          <w:b/>
          <w:bCs/>
          <w:color w:val="000000"/>
          <w:sz w:val="24"/>
          <w:szCs w:val="24"/>
          <w:rtl/>
        </w:rPr>
        <w:t>חלפון נ' שמן משאבי נפט וגז בע"מ</w:t>
      </w:r>
      <w:r>
        <w:rPr>
          <w:rFonts w:ascii="David" w:hAnsi="David" w:cs="David"/>
          <w:color w:val="000000"/>
          <w:sz w:val="24"/>
          <w:szCs w:val="24"/>
          <w:rtl/>
        </w:rPr>
        <w:t xml:space="preserve"> (29.12.</w:t>
      </w:r>
      <w:r w:rsidR="00A3751E">
        <w:rPr>
          <w:rFonts w:ascii="David" w:hAnsi="David" w:cs="David" w:hint="cs"/>
          <w:color w:val="000000"/>
          <w:sz w:val="24"/>
          <w:szCs w:val="24"/>
          <w:rtl/>
        </w:rPr>
        <w:t>21</w:t>
      </w:r>
      <w:r>
        <w:rPr>
          <w:rFonts w:ascii="David" w:hAnsi="David" w:cs="David"/>
          <w:color w:val="000000"/>
          <w:sz w:val="24"/>
          <w:szCs w:val="24"/>
          <w:rtl/>
        </w:rPr>
        <w:t xml:space="preserve">) (להלן – עניין </w:t>
      </w:r>
      <w:r>
        <w:rPr>
          <w:rFonts w:ascii="David" w:hAnsi="David" w:cs="David"/>
          <w:b/>
          <w:bCs/>
          <w:color w:val="000000"/>
          <w:sz w:val="24"/>
          <w:szCs w:val="24"/>
          <w:rtl/>
        </w:rPr>
        <w:t>חלפון</w:t>
      </w:r>
      <w:r>
        <w:rPr>
          <w:rFonts w:ascii="David" w:hAnsi="David" w:cs="David"/>
          <w:color w:val="000000"/>
          <w:sz w:val="24"/>
          <w:szCs w:val="24"/>
          <w:rtl/>
        </w:rPr>
        <w:t xml:space="preserve">) </w:t>
      </w:r>
      <w:r w:rsidR="002011FD">
        <w:rPr>
          <w:rFonts w:ascii="David" w:hAnsi="David" w:cs="David" w:hint="cs"/>
          <w:color w:val="000000"/>
          <w:sz w:val="24"/>
          <w:szCs w:val="24"/>
          <w:rtl/>
        </w:rPr>
        <w:t xml:space="preserve">נקבע בהקשר זה </w:t>
      </w:r>
      <w:r>
        <w:rPr>
          <w:rFonts w:ascii="David" w:hAnsi="David" w:cs="David"/>
          <w:color w:val="000000"/>
          <w:sz w:val="24"/>
          <w:szCs w:val="24"/>
          <w:rtl/>
        </w:rPr>
        <w:t xml:space="preserve">כי </w:t>
      </w:r>
      <w:r>
        <w:rPr>
          <w:rFonts w:ascii="David" w:hAnsi="David" w:cs="David"/>
          <w:sz w:val="24"/>
          <w:szCs w:val="24"/>
          <w:rtl/>
        </w:rPr>
        <w:t xml:space="preserve">סעיף 17 לחוק תובענות ייצוגיות קובע כי נורמת ההתנהגות המחייבת את בא הכוח המייצג כלפי הקבוצה המיוצגת היא הגבוהה ביותר המוכרת בדין הישראלי – </w:t>
      </w:r>
      <w:r w:rsidRPr="001225E3">
        <w:rPr>
          <w:rFonts w:ascii="David" w:hAnsi="David" w:cs="David"/>
          <w:sz w:val="24"/>
          <w:szCs w:val="24"/>
          <w:rtl/>
        </w:rPr>
        <w:t>"במילוי תפקידיו, יפעל בא כוח מייצג בנאמנות ובמסירות לטובת הקבוצה שבשמה הוגשה הבקשה לאישור או הקבוצה שבשמה מנוהלת התובענה הייצוגית, לפי הענ</w:t>
      </w:r>
      <w:r w:rsidR="00ED5D93">
        <w:rPr>
          <w:rFonts w:ascii="David" w:hAnsi="David" w:cs="David" w:hint="cs"/>
          <w:sz w:val="24"/>
          <w:szCs w:val="24"/>
          <w:rtl/>
        </w:rPr>
        <w:t>י</w:t>
      </w:r>
      <w:r w:rsidRPr="001225E3">
        <w:rPr>
          <w:rFonts w:ascii="David" w:hAnsi="David" w:cs="David"/>
          <w:sz w:val="24"/>
          <w:szCs w:val="24"/>
          <w:rtl/>
        </w:rPr>
        <w:t>ין, כאילו ה</w:t>
      </w:r>
      <w:r w:rsidR="00ED5D93">
        <w:rPr>
          <w:rFonts w:ascii="David" w:hAnsi="David" w:cs="David" w:hint="cs"/>
          <w:sz w:val="24"/>
          <w:szCs w:val="24"/>
          <w:rtl/>
        </w:rPr>
        <w:t>י</w:t>
      </w:r>
      <w:r w:rsidRPr="001225E3">
        <w:rPr>
          <w:rFonts w:ascii="David" w:hAnsi="David" w:cs="David"/>
          <w:sz w:val="24"/>
          <w:szCs w:val="24"/>
          <w:rtl/>
        </w:rPr>
        <w:t xml:space="preserve">יתה שולחתו, בשינויים המחויבים מכך שההליך הוא הליך ייצוגי".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6F25F5">
      <w:pPr>
        <w:pStyle w:val="ad"/>
        <w:spacing w:after="120" w:line="360" w:lineRule="auto"/>
        <w:ind w:left="360"/>
        <w:jc w:val="both"/>
        <w:rPr>
          <w:rFonts w:ascii="David" w:hAnsi="David" w:cs="David"/>
          <w:sz w:val="24"/>
          <w:szCs w:val="24"/>
          <w:rtl/>
        </w:rPr>
      </w:pPr>
      <w:r>
        <w:rPr>
          <w:rFonts w:ascii="David" w:hAnsi="David" w:cs="David"/>
          <w:sz w:val="24"/>
          <w:szCs w:val="24"/>
          <w:rtl/>
        </w:rPr>
        <w:t xml:space="preserve">עוד נקבע כי בית המשפט הוא שממנה את בא הכוח המייצג (ואת התובע המייצג) לפעול בשמה של הקבוצה המיוצגת, וזאת במסגרת ההחלטה בדבר אישור ניהול תובענה כייצוגית. בעשותו כן, עליו לוודא כי עורך הדין המוצע כבא כוח מייצג יוכל למלא נאמנה את תפקידו, וזאת בהינתן חובות האמון והמיומנות המוטלות עליו כלפי הקבוצה. באופן קונקרטי, קבע המחוקק כי על בית המשפט לבחון בהחלטת האישור שני תנאים הנוגעים לנאותות הייצוג המשפטי: ראשית, </w:t>
      </w:r>
      <w:r>
        <w:rPr>
          <w:rFonts w:ascii="David" w:hAnsi="David" w:cs="David"/>
          <w:sz w:val="24"/>
          <w:szCs w:val="24"/>
          <w:rtl/>
        </w:rPr>
        <w:lastRenderedPageBreak/>
        <w:t xml:space="preserve">עליו לוודא כי </w:t>
      </w:r>
      <w:r w:rsidRPr="001225E3">
        <w:rPr>
          <w:rFonts w:cs="David"/>
          <w:sz w:val="24"/>
          <w:szCs w:val="24"/>
          <w:rtl/>
        </w:rPr>
        <w:t xml:space="preserve">"קיים יסוד סביר להניח כי עניינם של כלל חברי הקבוצה ייוצג וינוהל בדרך הולמת" </w:t>
      </w:r>
      <w:r w:rsidR="006F25F5" w:rsidRPr="001225E3">
        <w:rPr>
          <w:rFonts w:cs="David" w:hint="cs"/>
          <w:sz w:val="24"/>
          <w:szCs w:val="24"/>
          <w:rtl/>
        </w:rPr>
        <w:t>(סעיף 8(א)(3)</w:t>
      </w:r>
      <w:r w:rsidRPr="001225E3">
        <w:rPr>
          <w:rFonts w:cs="David"/>
          <w:sz w:val="24"/>
          <w:szCs w:val="24"/>
          <w:rtl/>
        </w:rPr>
        <w:t> לחוק תובענות ייצוגיות). שנית</w:t>
      </w:r>
      <w:r>
        <w:rPr>
          <w:rFonts w:ascii="David" w:hAnsi="David" w:cs="David"/>
          <w:sz w:val="24"/>
          <w:szCs w:val="24"/>
          <w:rtl/>
        </w:rPr>
        <w:t xml:space="preserve">, עליו למצוא </w:t>
      </w:r>
      <w:r w:rsidRPr="001225E3">
        <w:rPr>
          <w:rFonts w:ascii="David" w:hAnsi="David" w:cs="David"/>
          <w:sz w:val="24"/>
          <w:szCs w:val="24"/>
          <w:rtl/>
        </w:rPr>
        <w:t xml:space="preserve">כי "קיים יסוד סביר להניח כי עניינם של כלל חברי הקבוצה ייוצג וינוהל בתום לב" </w:t>
      </w:r>
      <w:r w:rsidR="006F25F5" w:rsidRPr="001225E3">
        <w:rPr>
          <w:rFonts w:ascii="David" w:hAnsi="David" w:cs="David" w:hint="cs"/>
          <w:sz w:val="24"/>
          <w:szCs w:val="24"/>
          <w:rtl/>
        </w:rPr>
        <w:t>(סעיף 8(א)</w:t>
      </w:r>
      <w:r w:rsidR="006F25F5">
        <w:rPr>
          <w:rFonts w:ascii="David" w:hAnsi="David" w:cs="David" w:hint="cs"/>
          <w:sz w:val="24"/>
          <w:szCs w:val="24"/>
          <w:rtl/>
        </w:rPr>
        <w:t>(4)</w:t>
      </w:r>
      <w:r>
        <w:rPr>
          <w:rFonts w:ascii="David" w:hAnsi="David" w:cs="David"/>
          <w:sz w:val="24"/>
          <w:szCs w:val="24"/>
          <w:rtl/>
        </w:rPr>
        <w:t xml:space="preserve"> לחוק תובענות ייצוגיות).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5B73CB">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ועוד נקבע בענין </w:t>
      </w:r>
      <w:r>
        <w:rPr>
          <w:rFonts w:ascii="David" w:hAnsi="David" w:cs="David"/>
          <w:b/>
          <w:bCs/>
          <w:sz w:val="24"/>
          <w:szCs w:val="24"/>
          <w:rtl/>
        </w:rPr>
        <w:t>חלפון</w:t>
      </w:r>
      <w:r>
        <w:rPr>
          <w:rFonts w:ascii="David" w:hAnsi="David" w:cs="David"/>
          <w:sz w:val="24"/>
          <w:szCs w:val="24"/>
          <w:rtl/>
        </w:rPr>
        <w:t>, כי התנאי הראשון, לייצוג וניהול באופן הולם, מתמקד ביכולת התובע המייצג ובא הכוח המייצג לייצג את עניינם של הקבוצה בדרך נאותה, בשים לב למידת כשירותם, הידע, הניסיון, המיומנות והמשאבים העומדים לרשותם לביצוע תפקידם, כמו גם מידת חריצותם ורצינותם. תכליתו של תנאי זה היא להבטיח שלא ייגרם לחברי הקבוצה – שאינם לוקחים חלק פעיל בהליך – עוול או עיוות דין, במיוחד נוכח העובדה שההליך עלול למצות את זכות תביעתם, וכן שלא יקופחו מטרות התובענה הייצוגית עקב ייצוג כושל (</w:t>
      </w:r>
      <w:r w:rsidR="005B73CB">
        <w:rPr>
          <w:rFonts w:ascii="David" w:hAnsi="David" w:cs="David" w:hint="cs"/>
          <w:sz w:val="24"/>
          <w:szCs w:val="24"/>
          <w:rtl/>
        </w:rPr>
        <w:t xml:space="preserve">לחשיבות הייצוג ההולם בהליך של תובענה ייצוגית ראו: אמיר ויצנבליט "ייצוג הולם בהסדרי פשרה בתובענות ייצוגיות" </w:t>
      </w:r>
      <w:r w:rsidR="005B73CB" w:rsidRPr="005B73CB">
        <w:rPr>
          <w:rFonts w:ascii="David" w:hAnsi="David" w:cs="David" w:hint="cs"/>
          <w:b/>
          <w:bCs/>
          <w:sz w:val="24"/>
          <w:szCs w:val="24"/>
          <w:rtl/>
        </w:rPr>
        <w:t>משפטים</w:t>
      </w:r>
      <w:r w:rsidR="005B73CB">
        <w:rPr>
          <w:rFonts w:ascii="David" w:hAnsi="David" w:cs="David" w:hint="cs"/>
          <w:sz w:val="24"/>
          <w:szCs w:val="24"/>
          <w:rtl/>
        </w:rPr>
        <w:t xml:space="preserve"> מג 351 (2012); </w:t>
      </w:r>
      <w:r>
        <w:rPr>
          <w:rFonts w:ascii="David" w:hAnsi="David" w:cs="David"/>
          <w:sz w:val="24"/>
          <w:szCs w:val="24"/>
          <w:rtl/>
        </w:rPr>
        <w:t xml:space="preserve">אביאל פלינט וחגי ויניצקי </w:t>
      </w:r>
      <w:r>
        <w:rPr>
          <w:rFonts w:ascii="David" w:hAnsi="David" w:cs="David"/>
          <w:b/>
          <w:bCs/>
          <w:sz w:val="24"/>
          <w:szCs w:val="24"/>
          <w:rtl/>
        </w:rPr>
        <w:t>תובענות ייצוגיות</w:t>
      </w:r>
      <w:r>
        <w:rPr>
          <w:rFonts w:ascii="David" w:hAnsi="David" w:cs="David"/>
          <w:sz w:val="24"/>
          <w:szCs w:val="24"/>
          <w:rtl/>
        </w:rPr>
        <w:t xml:space="preserve"> 245 (2017)). </w:t>
      </w:r>
    </w:p>
    <w:p w:rsidR="00EB5012" w:rsidRDefault="00EB5012" w:rsidP="00EB5012">
      <w:pPr>
        <w:pStyle w:val="ruller4"/>
        <w:bidi/>
        <w:spacing w:before="0" w:beforeAutospacing="0" w:after="0" w:afterAutospacing="0" w:line="330" w:lineRule="atLeast"/>
        <w:ind w:left="360"/>
        <w:jc w:val="both"/>
        <w:rPr>
          <w:rFonts w:ascii="Arial TUR" w:hAnsi="Arial TUR" w:cs="Arial TUR"/>
          <w:color w:val="000000"/>
          <w:spacing w:val="10"/>
          <w:sz w:val="22"/>
          <w:szCs w:val="22"/>
        </w:rPr>
      </w:pPr>
      <w:r>
        <w:rPr>
          <w:rFonts w:ascii="Arial TUR" w:hAnsi="Arial TUR" w:cs="Arial TUR"/>
          <w:color w:val="000000"/>
          <w:spacing w:val="10"/>
          <w:sz w:val="22"/>
          <w:szCs w:val="22"/>
        </w:rPr>
        <w:t> </w:t>
      </w: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וכן נקבע באותו עניין, כי התנאי השני, לייצוג וניהול בתום לב, נועד להתמודד בעיקרו עם בעיית הנציג של מכשיר התובענה הייצוגית, ובמסגרתו נבחנים האינטרסים הפרטיים של התובע המייצג ובא הכוח המייצג בניהול התובענה אל מול האינטרסים של חברי הקבוצה וטובתם.</w:t>
      </w:r>
    </w:p>
    <w:p w:rsidR="00EB5012" w:rsidRDefault="00EB5012" w:rsidP="00EB5012">
      <w:pPr>
        <w:pStyle w:val="ruller40"/>
        <w:bidi/>
        <w:spacing w:before="0" w:beforeAutospacing="0" w:after="0" w:afterAutospacing="0" w:line="360" w:lineRule="atLeast"/>
        <w:ind w:left="360"/>
        <w:jc w:val="both"/>
        <w:rPr>
          <w:rFonts w:ascii="Garamond" w:hAnsi="Garamond"/>
          <w:color w:val="000000"/>
          <w:spacing w:val="10"/>
          <w:sz w:val="27"/>
          <w:szCs w:val="27"/>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סבורני כי חרף האמור בעניין </w:t>
      </w:r>
      <w:r>
        <w:rPr>
          <w:rFonts w:ascii="David" w:hAnsi="David" w:cs="David"/>
          <w:b/>
          <w:bCs/>
          <w:sz w:val="24"/>
          <w:szCs w:val="24"/>
          <w:rtl/>
        </w:rPr>
        <w:t>אטיה</w:t>
      </w:r>
      <w:r>
        <w:rPr>
          <w:rFonts w:ascii="David" w:hAnsi="David" w:cs="David"/>
          <w:sz w:val="24"/>
          <w:szCs w:val="24"/>
          <w:rtl/>
        </w:rPr>
        <w:t xml:space="preserve">, ב"כ המבקש כשיר לנהל את ההליך. אכן באותו מקרה נקבע כי הסדר שכה"ט של ב"כ המבקש עם לקוחתו קובע שכ"ט קצוב העולה על השכר הראוי, במקרה של פיטורין, ולכן דינו בטלות. </w:t>
      </w:r>
    </w:p>
    <w:p w:rsidR="002011FD" w:rsidRDefault="002011FD"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להשקפתי, בנסיבות המקרה שלפניי, אין הדבר מונע את ייצוגו את הקבוצה. ב"כ המבקש גילה עד כה כשירות, ידע, ניסיון, מיומנות, חריצות ורצינות. ב"כ המבקש אינו קובע את השכר שיקבל בהליך זה וזה נקבע על ידי בית משפט. אם בהמשך לא ייצג כהלכה את הקבוצה, ניתן לשקול להחליפו. לפיכך החשש העולה מעניין </w:t>
      </w:r>
      <w:r>
        <w:rPr>
          <w:rFonts w:ascii="David" w:hAnsi="David" w:cs="David"/>
          <w:b/>
          <w:bCs/>
          <w:sz w:val="24"/>
          <w:szCs w:val="24"/>
          <w:rtl/>
        </w:rPr>
        <w:t>אטיה</w:t>
      </w:r>
      <w:r>
        <w:rPr>
          <w:rFonts w:ascii="David" w:hAnsi="David" w:cs="David"/>
          <w:sz w:val="24"/>
          <w:szCs w:val="24"/>
          <w:rtl/>
        </w:rPr>
        <w:t xml:space="preserve"> אינו מתקיים בענייננו, והחשוב הוא כי ייצוג הקבוצה צפוי להיות מקצועי, נוכח התנהלותו עד כה. </w:t>
      </w:r>
    </w:p>
    <w:p w:rsidR="00EB5012" w:rsidRDefault="00EB5012" w:rsidP="00EB5012">
      <w:pPr>
        <w:pStyle w:val="ad"/>
        <w:spacing w:after="120" w:line="360" w:lineRule="auto"/>
        <w:ind w:left="360"/>
        <w:jc w:val="both"/>
        <w:rPr>
          <w:rFonts w:ascii="David" w:hAnsi="David" w:cs="David"/>
          <w:sz w:val="24"/>
          <w:szCs w:val="24"/>
          <w:rtl/>
        </w:rPr>
      </w:pPr>
    </w:p>
    <w:p w:rsidR="005B73CB" w:rsidRDefault="005B73CB" w:rsidP="00EB5012">
      <w:pPr>
        <w:pStyle w:val="ad"/>
        <w:spacing w:after="120" w:line="360" w:lineRule="auto"/>
        <w:ind w:left="360"/>
        <w:jc w:val="both"/>
        <w:rPr>
          <w:rFonts w:ascii="David" w:hAnsi="David" w:cs="David"/>
          <w:sz w:val="24"/>
          <w:szCs w:val="24"/>
          <w:rtl/>
        </w:rPr>
      </w:pPr>
    </w:p>
    <w:p w:rsidR="005B73CB" w:rsidRDefault="005B73CB" w:rsidP="00EB5012">
      <w:pPr>
        <w:pStyle w:val="ad"/>
        <w:spacing w:after="120" w:line="360" w:lineRule="auto"/>
        <w:ind w:left="360"/>
        <w:jc w:val="both"/>
        <w:rPr>
          <w:rFonts w:ascii="David" w:hAnsi="David" w:cs="David"/>
          <w:sz w:val="24"/>
          <w:szCs w:val="24"/>
          <w:rtl/>
        </w:rPr>
      </w:pPr>
    </w:p>
    <w:p w:rsidR="005B73CB" w:rsidRDefault="005B73CB" w:rsidP="00EB5012">
      <w:pPr>
        <w:pStyle w:val="ad"/>
        <w:spacing w:after="120" w:line="360" w:lineRule="auto"/>
        <w:ind w:left="360"/>
        <w:jc w:val="both"/>
        <w:rPr>
          <w:rFonts w:ascii="David" w:hAnsi="David" w:cs="David"/>
          <w:sz w:val="24"/>
          <w:szCs w:val="24"/>
        </w:rPr>
      </w:pPr>
    </w:p>
    <w:p w:rsidR="00EB5012" w:rsidRDefault="00EB5012" w:rsidP="00EB5012">
      <w:pPr>
        <w:spacing w:after="120" w:line="360" w:lineRule="auto"/>
        <w:jc w:val="both"/>
        <w:rPr>
          <w:rFonts w:ascii="David" w:hAnsi="David"/>
          <w:b/>
          <w:bCs/>
          <w:sz w:val="28"/>
          <w:szCs w:val="28"/>
          <w:u w:val="single"/>
        </w:rPr>
      </w:pPr>
      <w:r>
        <w:rPr>
          <w:rFonts w:ascii="David" w:hAnsi="David"/>
          <w:b/>
          <w:bCs/>
          <w:sz w:val="28"/>
          <w:szCs w:val="28"/>
          <w:rtl/>
        </w:rPr>
        <w:lastRenderedPageBreak/>
        <w:t xml:space="preserve">ט. </w:t>
      </w:r>
      <w:r>
        <w:rPr>
          <w:rFonts w:ascii="David" w:hAnsi="David"/>
          <w:b/>
          <w:bCs/>
          <w:sz w:val="28"/>
          <w:szCs w:val="28"/>
          <w:u w:val="single"/>
          <w:rtl/>
        </w:rPr>
        <w:t xml:space="preserve">הטענה כי המבקש אינו מתאים לייצוג הקבוצה </w:t>
      </w:r>
    </w:p>
    <w:p w:rsidR="00EB5012" w:rsidRDefault="00EB5012" w:rsidP="00EB5012">
      <w:pPr>
        <w:spacing w:after="120" w:line="360" w:lineRule="auto"/>
        <w:jc w:val="both"/>
        <w:rPr>
          <w:rFonts w:ascii="David" w:hAnsi="David"/>
          <w:b/>
          <w:bCs/>
          <w:u w:val="single"/>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טוענים המשיבים כי המבקש לא כשיר לייצג את הקבוצה בין היתר מחמת שדרש 8,000 ש"ח מהמשיבים על מנת להימנע מהגשת הבקשה והגיש בקשות אישור קודמות. איני סבור כך.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ברע"א 8268/96 </w:t>
      </w:r>
      <w:r>
        <w:rPr>
          <w:rFonts w:ascii="David" w:hAnsi="David" w:cs="David"/>
          <w:b/>
          <w:bCs/>
          <w:sz w:val="24"/>
          <w:szCs w:val="24"/>
          <w:rtl/>
        </w:rPr>
        <w:t>רייכרט נ' שמש</w:t>
      </w:r>
      <w:r>
        <w:rPr>
          <w:rFonts w:ascii="David" w:hAnsi="David" w:cs="David"/>
          <w:sz w:val="24"/>
          <w:szCs w:val="24"/>
          <w:rtl/>
        </w:rPr>
        <w:t xml:space="preserve">, פ"ד נה(5) 276 (2001) נקבע כי שיקולים תועלתניים וכספיים, שהניעו את התובע הייצוגי להגיש את תביעתו אין בהם כדי לשלול את תום לבו ולהכשיל את אישורה של התובענה כייצוגית. וכך נפסק בהקשר זה שם: </w:t>
      </w:r>
      <w:r>
        <w:rPr>
          <w:rFonts w:ascii="David" w:hAnsi="David" w:cs="David"/>
          <w:sz w:val="24"/>
          <w:szCs w:val="24"/>
        </w:rPr>
        <w:t> </w:t>
      </w:r>
    </w:p>
    <w:p w:rsidR="00EB5012" w:rsidRDefault="00EB5012" w:rsidP="00EB5012">
      <w:pPr>
        <w:pStyle w:val="ad"/>
        <w:rPr>
          <w:rFonts w:ascii="David" w:hAnsi="David" w:cs="David"/>
          <w:sz w:val="24"/>
          <w:szCs w:val="24"/>
        </w:rPr>
      </w:pPr>
    </w:p>
    <w:p w:rsidR="00EB5012" w:rsidRDefault="00EB5012" w:rsidP="00EB5012">
      <w:pPr>
        <w:pStyle w:val="ad"/>
        <w:spacing w:line="360" w:lineRule="auto"/>
        <w:ind w:left="651" w:right="567"/>
        <w:jc w:val="both"/>
        <w:rPr>
          <w:rFonts w:ascii="David" w:hAnsi="David" w:cs="David"/>
          <w:sz w:val="24"/>
          <w:szCs w:val="24"/>
          <w:rtl/>
        </w:rPr>
      </w:pPr>
      <w:r>
        <w:rPr>
          <w:rFonts w:ascii="David" w:hAnsi="David" w:cs="David"/>
          <w:sz w:val="24"/>
          <w:szCs w:val="24"/>
          <w:rtl/>
        </w:rPr>
        <w:t>"עצם העובדה שהתובע יפיק רווח לעצמו כתוצאה מהיותו התובע המייצג אין בה – כשלעצמה – לשלול את תום-לבו. לעניין זה מקובלים עליי דבריה של השופטת קמא, כי: 'אילו רצה המחוקק לאפשר את התביעה רק לתובעים המבקשים לייצג את הקבוצה משיקולים אלטרואיסטיים לא היה קובע תמריץ כלכלי... משנקבע בחוק כי בית המשפט רשאי לפסוק תגמול מיוחד לתובע ייצוגי, אין מקום לטעון לחוסר תום ליבו רק משום שנענה לקריאת המחוקק'" (עמ' 296).</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בנסיבות העניין, אף העובדה שהמבקש הגיש בקשות אישור קודמות אין בה כדי לפסול אותו מייצוג. בסעיף 25 לתגובה לתשובה הפנה המבקש להליך קודם בו ייצג ואף עלה בידו להביא לפיצוי חברי קבוצה, דבר המלמד כי נהג כהלכה ובתום לב.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spacing w:after="120" w:line="360" w:lineRule="auto"/>
        <w:jc w:val="both"/>
        <w:rPr>
          <w:rFonts w:ascii="David" w:hAnsi="David"/>
          <w:b/>
          <w:bCs/>
          <w:sz w:val="28"/>
          <w:szCs w:val="28"/>
          <w:u w:val="single"/>
        </w:rPr>
      </w:pPr>
      <w:r>
        <w:rPr>
          <w:rFonts w:ascii="David" w:hAnsi="David"/>
          <w:b/>
          <w:bCs/>
          <w:sz w:val="28"/>
          <w:szCs w:val="28"/>
          <w:rtl/>
        </w:rPr>
        <w:t xml:space="preserve">י. </w:t>
      </w:r>
      <w:r>
        <w:rPr>
          <w:rFonts w:ascii="David" w:hAnsi="David"/>
          <w:b/>
          <w:bCs/>
          <w:sz w:val="28"/>
          <w:szCs w:val="28"/>
          <w:u w:val="single"/>
          <w:rtl/>
        </w:rPr>
        <w:t>שאלת אחריות המשיבים 2-14 למשלוח ההודעות</w:t>
      </w:r>
    </w:p>
    <w:p w:rsidR="00EB5012" w:rsidRDefault="00EB5012" w:rsidP="00EB5012">
      <w:pPr>
        <w:spacing w:after="120" w:line="360" w:lineRule="auto"/>
        <w:jc w:val="both"/>
        <w:rPr>
          <w:rFonts w:ascii="David" w:hAnsi="David"/>
          <w:rtl/>
        </w:rPr>
      </w:pPr>
    </w:p>
    <w:p w:rsidR="00EB5012" w:rsidRDefault="00EB5012" w:rsidP="00EB5012">
      <w:pPr>
        <w:pStyle w:val="ad"/>
        <w:numPr>
          <w:ilvl w:val="0"/>
          <w:numId w:val="2"/>
        </w:numPr>
        <w:spacing w:after="120" w:line="360" w:lineRule="auto"/>
        <w:jc w:val="both"/>
        <w:rPr>
          <w:rFonts w:ascii="David" w:hAnsi="David" w:cs="David"/>
          <w:b/>
          <w:bCs/>
          <w:sz w:val="24"/>
          <w:szCs w:val="24"/>
        </w:rPr>
      </w:pPr>
      <w:r>
        <w:rPr>
          <w:rFonts w:ascii="David" w:hAnsi="David" w:cs="David"/>
          <w:sz w:val="24"/>
          <w:szCs w:val="24"/>
          <w:rtl/>
        </w:rPr>
        <w:t xml:space="preserve">כאמור, מצאתי כי משיבים 2-14 כלל אינם בגדר "מפרסם". מפעילת המועדון הינה משיבה 1 והיא זו שהתקשרה בהסכם, כחברה בע"מ. בבקשת האישור לא נטען אחרת ולא נטענה עילת חיוב אישי מכוח הרמת מסך. </w:t>
      </w:r>
    </w:p>
    <w:p w:rsidR="00EB5012" w:rsidRDefault="00EB5012" w:rsidP="00EB5012">
      <w:pPr>
        <w:pStyle w:val="ad"/>
        <w:spacing w:after="120" w:line="360" w:lineRule="auto"/>
        <w:ind w:left="360"/>
        <w:jc w:val="both"/>
        <w:rPr>
          <w:rFonts w:ascii="David" w:hAnsi="David" w:cs="David"/>
          <w:b/>
          <w:bCs/>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אחזור בתמצית על חלק מהדברים שציינתי לגבי השאלה האם משיבים 2-14 הינם "מפרסם" שכן הדבר רלבנטי גם לפרק זה. העובדה כי חלק מהמשיבים 2-14 הינם בעלי מניות במשיבה 2, וחלקם דירקטורים במשיבה 1 או במשיבה 2 אין פירושה כי הם אישית חבים במעשי המשיבה 1, כפי שטוען המבקש. שאם תאמר אחרת, הרי שהתוצאה תהא הרמת מסך "אוטומטית" והתעלמות מעקרון האישיות המשפטית הנפרדת של תאגיד בע"מ. </w:t>
      </w: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lastRenderedPageBreak/>
        <w:t xml:space="preserve">כזכור, המשיבים 4, 8 ו-11-12 כלל אינם נושאי מישרה או בעלי מניות במשיבה 1 אלא אך בעלי מניות במשיבה 2 וממילא כלפיהם אין עילת תביעה ולו קלושה. </w:t>
      </w:r>
    </w:p>
    <w:p w:rsidR="004011FF" w:rsidRDefault="004011FF" w:rsidP="00EB5012">
      <w:pPr>
        <w:pStyle w:val="ad"/>
        <w:spacing w:after="120" w:line="360" w:lineRule="auto"/>
        <w:ind w:left="360"/>
        <w:jc w:val="both"/>
        <w:rPr>
          <w:rFonts w:ascii="David" w:hAnsi="David" w:cs="David"/>
          <w:sz w:val="24"/>
          <w:szCs w:val="24"/>
          <w:rtl/>
        </w:rPr>
      </w:pPr>
    </w:p>
    <w:p w:rsidR="00EB5012" w:rsidRDefault="00EB5012" w:rsidP="006F25F5">
      <w:pPr>
        <w:pStyle w:val="ad"/>
        <w:spacing w:after="120" w:line="360" w:lineRule="auto"/>
        <w:ind w:left="360"/>
        <w:jc w:val="both"/>
        <w:rPr>
          <w:rFonts w:ascii="David" w:hAnsi="David" w:cs="David"/>
          <w:sz w:val="24"/>
          <w:szCs w:val="24"/>
          <w:rtl/>
        </w:rPr>
      </w:pPr>
      <w:r>
        <w:rPr>
          <w:rFonts w:ascii="David" w:hAnsi="David" w:cs="David"/>
          <w:sz w:val="24"/>
          <w:szCs w:val="24"/>
          <w:rtl/>
        </w:rPr>
        <w:t xml:space="preserve">כאמור, בהקשר לכך נקבע בעניין </w:t>
      </w:r>
      <w:r>
        <w:rPr>
          <w:rFonts w:ascii="David" w:hAnsi="David" w:cs="David"/>
          <w:b/>
          <w:bCs/>
          <w:sz w:val="24"/>
          <w:szCs w:val="24"/>
          <w:rtl/>
        </w:rPr>
        <w:t>חיות</w:t>
      </w:r>
      <w:r>
        <w:rPr>
          <w:rFonts w:ascii="David" w:hAnsi="David" w:cs="David"/>
          <w:sz w:val="24"/>
          <w:szCs w:val="24"/>
          <w:rtl/>
        </w:rPr>
        <w:t xml:space="preserve"> כי הגדרת "מפרסם" </w:t>
      </w:r>
      <w:r>
        <w:rPr>
          <w:rFonts w:ascii="David" w:hAnsi="David" w:cs="David"/>
          <w:b/>
          <w:bCs/>
          <w:sz w:val="24"/>
          <w:szCs w:val="24"/>
          <w:rtl/>
        </w:rPr>
        <w:t xml:space="preserve">איננה כוללת גם את מנהלי ובעלי החברה המפרסמת או החברה שפרסום נעשה באמצעותה. </w:t>
      </w:r>
      <w:r>
        <w:rPr>
          <w:rFonts w:ascii="David" w:hAnsi="David" w:cs="David"/>
          <w:sz w:val="24"/>
          <w:szCs w:val="24"/>
          <w:rtl/>
        </w:rPr>
        <w:t>כן נקבע כי בהעדר עילה להרמת מסך, המדובר בסעיף זה בתאגידים עצמם ולא במנהליהם. גם העובדה שהוראת החוק הרלוונטית מטילה במפורש אחריות פלילית על מנהלים ונושאי משרה בתאגיד שאחראים לתחומי השיווק, מלמדת על העדר כוונה להטיל על המנהלים אחריות כללית לפרסום האסור, מעבר לזו שנקבעה במפורש</w:t>
      </w:r>
      <w:r w:rsidR="006F25F5">
        <w:rPr>
          <w:rFonts w:ascii="David" w:hAnsi="David" w:cs="David" w:hint="cs"/>
          <w:sz w:val="24"/>
          <w:szCs w:val="24"/>
          <w:rtl/>
        </w:rPr>
        <w:t xml:space="preserve"> בסכיף 30א(ח) לחוק התקשורת.</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ולעניין </w:t>
      </w:r>
      <w:r>
        <w:rPr>
          <w:rFonts w:ascii="David" w:hAnsi="David" w:cs="David"/>
          <w:b/>
          <w:bCs/>
          <w:sz w:val="24"/>
          <w:szCs w:val="24"/>
        </w:rPr>
        <w:t>MEGA</w:t>
      </w:r>
      <w:r>
        <w:rPr>
          <w:rFonts w:ascii="David" w:hAnsi="David" w:cs="David"/>
          <w:sz w:val="24"/>
          <w:szCs w:val="24"/>
          <w:rtl/>
        </w:rPr>
        <w:t xml:space="preserve"> ציינתי, ואחזור בתמצית, כי הנני מעדיף את האמור בענין </w:t>
      </w:r>
      <w:r>
        <w:rPr>
          <w:rFonts w:ascii="David" w:hAnsi="David" w:cs="David"/>
          <w:b/>
          <w:bCs/>
          <w:sz w:val="24"/>
          <w:szCs w:val="24"/>
          <w:rtl/>
        </w:rPr>
        <w:t>חיות</w:t>
      </w:r>
      <w:r>
        <w:rPr>
          <w:rFonts w:ascii="David" w:hAnsi="David" w:cs="David"/>
          <w:sz w:val="24"/>
          <w:szCs w:val="24"/>
          <w:rtl/>
        </w:rPr>
        <w:t xml:space="preserve"> וכי בניגוד למצב הדברים בפסק דין זה (ראו סעיף 108 לפסק הדין), במקרה שלפניי, המבקש לא הוכיח כי המשיבים 2-14 ידעו על משלוח ההודעות בניגוד לדין, ולא זימנם לעדות כדי להוכיח את ידיעתם או מעורבותם בעניין.</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זאת ועוד, כאמור, כלי התובענה הייצוגית הינו כלי רב עוצמה. בשל כך יש לטפל בתובענה הייצוגית בזהירות יתרה. יש להשגיח שלא נניח לתובענה הייצוגית כי תשפיע עלינו למעלה מן המידה הראויה לעת שנדרשים אנו לפירושה ולקביעת תחום פרישתה של התביעה האישית (ענין </w:t>
      </w:r>
      <w:r>
        <w:rPr>
          <w:rFonts w:ascii="David" w:hAnsi="David" w:cs="David"/>
          <w:b/>
          <w:bCs/>
          <w:sz w:val="24"/>
          <w:szCs w:val="24"/>
          <w:rtl/>
        </w:rPr>
        <w:t>ברזני</w:t>
      </w:r>
      <w:r>
        <w:rPr>
          <w:rFonts w:ascii="David" w:hAnsi="David" w:cs="David"/>
          <w:sz w:val="24"/>
          <w:szCs w:val="24"/>
          <w:rtl/>
        </w:rPr>
        <w:t xml:space="preserve">). זהירות זו מחייבת פרשנות זהירה ומדודה של הדין – ובהקשר זה חוק התקשורת, באופן שלא יורחב יתר על המידה על נושאי מישרה או בעלי מניות, ללא הוראה ברורה בו. </w:t>
      </w: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ועוד, נתתי דעתי לכך שהוטלה על מנהלי תאגיד אחריות פלילית בהקשר לכך, כאמור בסעיף 30א(ח) לחוק התקשורת. לשונה של הוראת חוק זו מלמד כי היא </w:t>
      </w:r>
      <w:r>
        <w:rPr>
          <w:rFonts w:ascii="David" w:hAnsi="David" w:cs="David"/>
          <w:b/>
          <w:bCs/>
          <w:sz w:val="24"/>
          <w:szCs w:val="24"/>
          <w:rtl/>
        </w:rPr>
        <w:t>איננה מטילה</w:t>
      </w:r>
      <w:r>
        <w:rPr>
          <w:rFonts w:ascii="David" w:hAnsi="David" w:cs="David"/>
          <w:sz w:val="24"/>
          <w:szCs w:val="24"/>
          <w:rtl/>
        </w:rPr>
        <w:t xml:space="preserve"> את האחריות לנזק שנגרם למקבל הודעות הפרסומת על מנהל התאגיד, אלא מאפשרת הטלת קנס של עד 75,300 ₪ אם לא עמד בהוראות הסעיף האמור. יתר על כן, הוראת חוק זו כלל אינה חלה על בעלי מניות בתאגיד.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numPr>
          <w:ilvl w:val="0"/>
          <w:numId w:val="2"/>
        </w:numPr>
        <w:spacing w:after="120" w:line="360" w:lineRule="auto"/>
        <w:jc w:val="both"/>
        <w:rPr>
          <w:rFonts w:ascii="David" w:hAnsi="David" w:cs="David"/>
          <w:sz w:val="24"/>
          <w:szCs w:val="24"/>
          <w:rtl/>
        </w:rPr>
      </w:pPr>
      <w:r>
        <w:rPr>
          <w:rFonts w:ascii="David" w:hAnsi="David" w:cs="David"/>
          <w:sz w:val="24"/>
          <w:szCs w:val="24"/>
          <w:rtl/>
        </w:rPr>
        <w:t xml:space="preserve">כמו כן, לא הוכח כי המשיבים 2-14 שלחו אישית את ההודעות או היו מעורבים בכך באופן כלשהו. מר אלרם לא נשאל על כך, הימנעות הפועלת לחובת המבקש. כאמור, המשיבים אינם "מפרסם" ולכן החזקה שנקבעה בעניין </w:t>
      </w:r>
      <w:r>
        <w:rPr>
          <w:rFonts w:ascii="David" w:hAnsi="David" w:cs="David"/>
          <w:b/>
          <w:bCs/>
          <w:sz w:val="24"/>
          <w:szCs w:val="24"/>
          <w:rtl/>
        </w:rPr>
        <w:t>סמארט קלאב</w:t>
      </w:r>
      <w:r>
        <w:rPr>
          <w:rFonts w:ascii="David" w:hAnsi="David" w:cs="David"/>
          <w:sz w:val="24"/>
          <w:szCs w:val="24"/>
          <w:rtl/>
        </w:rPr>
        <w:t xml:space="preserve"> בהקשר למשלוח ההודעות איננה חלה עליהם.  </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יתר על כן, המשיבה 1 היא הגורם היחיד הקשור להודעות נוכח ההסכם ופרשנותו, כהסכם שותפות בקשר לליין המסיבות, בין המשיבה 1 למפיקים. </w:t>
      </w:r>
    </w:p>
    <w:p w:rsidR="00EB5012" w:rsidRDefault="00EB5012" w:rsidP="00EB5012">
      <w:pPr>
        <w:spacing w:after="120" w:line="360" w:lineRule="auto"/>
        <w:jc w:val="both"/>
        <w:rPr>
          <w:rFonts w:ascii="David" w:hAnsi="David"/>
          <w:b/>
          <w:bCs/>
          <w:sz w:val="28"/>
          <w:szCs w:val="28"/>
          <w:u w:val="single"/>
          <w:rtl/>
        </w:rPr>
      </w:pPr>
      <w:r>
        <w:rPr>
          <w:rFonts w:ascii="David" w:hAnsi="David"/>
          <w:b/>
          <w:bCs/>
          <w:sz w:val="28"/>
          <w:szCs w:val="28"/>
          <w:rtl/>
        </w:rPr>
        <w:lastRenderedPageBreak/>
        <w:t xml:space="preserve">יא. </w:t>
      </w:r>
      <w:r>
        <w:rPr>
          <w:rFonts w:ascii="David" w:hAnsi="David"/>
          <w:b/>
          <w:bCs/>
          <w:sz w:val="28"/>
          <w:szCs w:val="28"/>
          <w:u w:val="single"/>
          <w:rtl/>
        </w:rPr>
        <w:t>סוגיות נוספות</w:t>
      </w:r>
    </w:p>
    <w:p w:rsidR="00EB5012" w:rsidRDefault="00EB5012" w:rsidP="00EB5012">
      <w:pPr>
        <w:spacing w:after="120" w:line="360" w:lineRule="auto"/>
        <w:jc w:val="both"/>
        <w:rPr>
          <w:rFonts w:ascii="David" w:hAnsi="David"/>
          <w:b/>
          <w:bCs/>
          <w:sz w:val="28"/>
          <w:szCs w:val="28"/>
          <w:u w:val="single"/>
          <w:rtl/>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b/>
          <w:bCs/>
          <w:sz w:val="24"/>
          <w:szCs w:val="24"/>
          <w:rtl/>
        </w:rPr>
        <w:t>טענת המשיבים למתן הסכמה של המבקש למשלוח ההודעות</w:t>
      </w:r>
      <w:r>
        <w:rPr>
          <w:rFonts w:ascii="David" w:hAnsi="David" w:cs="David"/>
          <w:sz w:val="24"/>
          <w:szCs w:val="24"/>
          <w:rtl/>
        </w:rPr>
        <w:t xml:space="preserve">: אלה טענו כי לפי נספח 2 לתגובה, מהתכתבות המבקש עם ברזילי, ניתן ללמוד כי המבקש נתן הסכמה למשלוח ההודעות. המבקש בתגובתו לתשובה הגיש תצהיר בו טען כי ההתכתבויות מפוברקות. המשיבים הגישו תצהיר של ברזילי הטוען ההיפך. דא עקא, כאמור תצהירו של ברזילי נמחק. המבקש לא נשאל שאלה אחת על גרסתו בעניין זה ולפיכך יש לקבלה במלואה.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טוען המבקש כי כיוון שההסכם מתייחס למספר חודשים בלבד בשנת 2021 ותקופת התביעה בבקשה משתרעת על תקופת ההתיישנות, הרי שאף אם ההסכם מקים למשיבים הגנה, היא מצומצמת לתקופת ההסכם בלבד. אין צורך לדון בטענה זו נוכח קביעתי כי ההסכם לא מקנה למשיבה 1 הגנה. </w:t>
      </w:r>
    </w:p>
    <w:p w:rsidR="00EB5012" w:rsidRDefault="00EB5012" w:rsidP="00EB5012">
      <w:pPr>
        <w:pStyle w:val="ad"/>
        <w:spacing w:after="120" w:line="360" w:lineRule="auto"/>
        <w:ind w:left="360"/>
        <w:jc w:val="both"/>
        <w:rPr>
          <w:rFonts w:ascii="David" w:hAnsi="David" w:cs="David"/>
          <w:sz w:val="24"/>
          <w:szCs w:val="24"/>
        </w:rPr>
      </w:pPr>
    </w:p>
    <w:p w:rsidR="002011FD" w:rsidRPr="001225E3" w:rsidRDefault="00EB5012" w:rsidP="001225E3">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המבקש הראה כי פנה למשיבה 1 לאחר קבלת ההודעה השנייה ביום 4.6.21, וביקש להסירו מרשימת התפוצה. על פי נספח 2 לבקשה, הכולל את ההתכתבות עם המשיבה 1, הוא נענה, בין היתר, במילים "</w:t>
      </w:r>
      <w:r w:rsidRPr="001225E3">
        <w:rPr>
          <w:rFonts w:ascii="David" w:hAnsi="David" w:cs="David"/>
          <w:sz w:val="24"/>
          <w:szCs w:val="24"/>
          <w:rtl/>
        </w:rPr>
        <w:t xml:space="preserve">תודה ששלחת את ההודעות, נטפל שתוסר". </w:t>
      </w:r>
    </w:p>
    <w:p w:rsidR="002011FD" w:rsidRPr="001225E3" w:rsidRDefault="002011FD" w:rsidP="002011FD">
      <w:pPr>
        <w:pStyle w:val="ad"/>
        <w:rPr>
          <w:rFonts w:ascii="David" w:hAnsi="David" w:cs="David"/>
          <w:sz w:val="24"/>
          <w:szCs w:val="24"/>
          <w:rtl/>
        </w:rPr>
      </w:pPr>
    </w:p>
    <w:p w:rsidR="00EB5012" w:rsidRPr="001225E3" w:rsidRDefault="00EB5012" w:rsidP="002011FD">
      <w:pPr>
        <w:pStyle w:val="ad"/>
        <w:spacing w:after="120" w:line="360" w:lineRule="auto"/>
        <w:ind w:left="360"/>
        <w:jc w:val="both"/>
        <w:rPr>
          <w:rFonts w:ascii="David" w:hAnsi="David" w:cs="David"/>
          <w:sz w:val="24"/>
          <w:szCs w:val="24"/>
          <w:rtl/>
        </w:rPr>
      </w:pPr>
      <w:r>
        <w:rPr>
          <w:rFonts w:ascii="David" w:hAnsi="David" w:cs="David"/>
          <w:sz w:val="24"/>
          <w:szCs w:val="24"/>
          <w:rtl/>
        </w:rPr>
        <w:t>כשבוע לאחר מכן</w:t>
      </w:r>
      <w:r w:rsidR="002011FD">
        <w:rPr>
          <w:rFonts w:ascii="David" w:hAnsi="David" w:cs="David" w:hint="cs"/>
          <w:sz w:val="24"/>
          <w:szCs w:val="24"/>
          <w:rtl/>
        </w:rPr>
        <w:t xml:space="preserve">, </w:t>
      </w:r>
      <w:r>
        <w:rPr>
          <w:rFonts w:ascii="David" w:hAnsi="David" w:cs="David"/>
          <w:sz w:val="24"/>
          <w:szCs w:val="24"/>
          <w:rtl/>
        </w:rPr>
        <w:t>ביום 10.6.21</w:t>
      </w:r>
      <w:r w:rsidR="002011FD">
        <w:rPr>
          <w:rFonts w:ascii="David" w:hAnsi="David" w:cs="David" w:hint="cs"/>
          <w:sz w:val="24"/>
          <w:szCs w:val="24"/>
          <w:rtl/>
        </w:rPr>
        <w:t>,</w:t>
      </w:r>
      <w:r>
        <w:rPr>
          <w:rFonts w:ascii="David" w:hAnsi="David" w:cs="David"/>
          <w:sz w:val="24"/>
          <w:szCs w:val="24"/>
          <w:rtl/>
        </w:rPr>
        <w:t xml:space="preserve"> קיבל המבקש הודעה שלישית, פנה שוב למשיבה 1 ונענה כי </w:t>
      </w:r>
      <w:r w:rsidRPr="001225E3">
        <w:rPr>
          <w:rFonts w:ascii="David" w:hAnsi="David" w:cs="David"/>
          <w:sz w:val="24"/>
          <w:szCs w:val="24"/>
          <w:rtl/>
        </w:rPr>
        <w:t>"האמן לי שעשיתי לך חסימה בתוכנה ועכשיו אנסה להבין איך קיבלת שוב הודעה.... הנה אני רואה ששלחת. מטפל".</w:t>
      </w:r>
    </w:p>
    <w:p w:rsidR="00EB5012" w:rsidRDefault="00EB5012"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 xml:space="preserve">התנהלותה זו של המשיבה 1, אף אם פעלה להסיר את מספרו של המבקש מרשימת התפוצה,   אינה מאיינת את עילת התביעה והפרתו לכאורה של חוק התקשורת. ייתכן, ואינני קובע מסמרות, כי יש בכך כדי להוות שיקול בפסיקת הפיצוי למקבל ההודעות. </w:t>
      </w:r>
    </w:p>
    <w:p w:rsidR="00EB5012" w:rsidRDefault="00EB5012" w:rsidP="00EB5012">
      <w:pPr>
        <w:pStyle w:val="ad"/>
        <w:rPr>
          <w:rFonts w:ascii="David" w:hAnsi="David" w:cs="David"/>
          <w:color w:val="FF0000"/>
          <w:sz w:val="24"/>
          <w:szCs w:val="24"/>
          <w:rtl/>
        </w:rPr>
      </w:pPr>
    </w:p>
    <w:p w:rsidR="00EB5012" w:rsidRDefault="00EB5012" w:rsidP="00EB5012">
      <w:pPr>
        <w:pStyle w:val="ad"/>
        <w:numPr>
          <w:ilvl w:val="0"/>
          <w:numId w:val="2"/>
        </w:numPr>
        <w:spacing w:after="120" w:line="360" w:lineRule="auto"/>
        <w:jc w:val="both"/>
        <w:rPr>
          <w:rFonts w:cs="David"/>
          <w:sz w:val="24"/>
          <w:szCs w:val="24"/>
          <w:rtl/>
        </w:rPr>
      </w:pPr>
      <w:r>
        <w:rPr>
          <w:rFonts w:cs="David"/>
          <w:b/>
          <w:bCs/>
          <w:sz w:val="24"/>
          <w:szCs w:val="24"/>
          <w:rtl/>
        </w:rPr>
        <w:t>לעניין הטענות מכוח חוק הגנת הפרטיות</w:t>
      </w:r>
      <w:r>
        <w:rPr>
          <w:rFonts w:cs="David"/>
          <w:sz w:val="24"/>
          <w:szCs w:val="24"/>
          <w:rtl/>
        </w:rPr>
        <w:t xml:space="preserve">: על מנת שיזכה המבקש בפיצוי מן המשיבים מכוח חוק הגנת הפרטיות, עליו להוכיח הן כי המשיבים הפרו את הוראותיו והן כי כל התנאים הנדרשים מכוח פקודת הנזיקין מתקיימים (קיומו מעשה או מחדל, קיומו של נזק וקשר סיבתי בין המעשה לבין הנזק) ואף כי למשיבים לא קיימת הגנה כלשהי מכוח פקודת הנזיקין (סעיף 4 לחוק הגנת הפרטיות). </w:t>
      </w:r>
    </w:p>
    <w:p w:rsidR="00EB5012" w:rsidRDefault="00EB5012" w:rsidP="00EB5012">
      <w:pPr>
        <w:pStyle w:val="ad"/>
        <w:spacing w:after="120" w:line="360" w:lineRule="auto"/>
        <w:ind w:left="360"/>
        <w:jc w:val="both"/>
        <w:rPr>
          <w:rFonts w:cs="David"/>
          <w:sz w:val="24"/>
          <w:szCs w:val="24"/>
        </w:rPr>
      </w:pPr>
    </w:p>
    <w:p w:rsidR="00EB5012" w:rsidRDefault="00EB5012" w:rsidP="00EB5012">
      <w:pPr>
        <w:pStyle w:val="ad"/>
        <w:spacing w:after="120" w:line="360" w:lineRule="auto"/>
        <w:ind w:left="360"/>
        <w:jc w:val="both"/>
        <w:rPr>
          <w:rFonts w:cs="David"/>
          <w:sz w:val="24"/>
          <w:szCs w:val="24"/>
          <w:rtl/>
        </w:rPr>
      </w:pPr>
      <w:r>
        <w:rPr>
          <w:rFonts w:cs="David"/>
          <w:sz w:val="24"/>
          <w:szCs w:val="24"/>
          <w:rtl/>
        </w:rPr>
        <w:lastRenderedPageBreak/>
        <w:t>בסעיפים 49-47 לבקשה נטען על ידי המבקש בלאקוניות כי המשיבים פעלו בניגוד להוראות סעיפים 2(1) ו- 2(6)-2(9) לחוק הגנת הפרטיות. המבקש לא הוכיח כי המשיבים לא החזיקו בפרטיו עד למועד שבו פנה המבקש למשיבה 1 ומסר לה את פרטיו על מנת שתדאג שהמפיקים לא ישלחו לו הודעות. מעובדות אלה עולה כי המבקש לא הוכיח שהמשיבים בלשו או הטרידו אותו או עשו סחרו בפרטיו, כיוון שלא הוכח כי אלה היו ברשותם.</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EB5012">
      <w:pPr>
        <w:pStyle w:val="ad"/>
        <w:numPr>
          <w:ilvl w:val="0"/>
          <w:numId w:val="2"/>
        </w:numPr>
        <w:spacing w:after="120" w:line="360" w:lineRule="auto"/>
        <w:jc w:val="both"/>
        <w:rPr>
          <w:rFonts w:ascii="David" w:hAnsi="David" w:cs="David"/>
          <w:sz w:val="24"/>
          <w:szCs w:val="24"/>
        </w:rPr>
      </w:pPr>
      <w:r>
        <w:rPr>
          <w:rFonts w:ascii="David" w:hAnsi="David" w:cs="David"/>
          <w:sz w:val="24"/>
          <w:szCs w:val="24"/>
          <w:rtl/>
        </w:rPr>
        <w:t xml:space="preserve">נוכח קביעתי כי המשיבה 1 הפרה את הוראות חוק התקשורת, אינני נזקק לדון ביתר העילות המוזכרות בבקשה כגון עשיית עושר ולא במשפט והפרת חובה חקוקה. </w:t>
      </w:r>
    </w:p>
    <w:p w:rsidR="00EB5012" w:rsidRDefault="00EB5012" w:rsidP="00EB5012">
      <w:pPr>
        <w:pStyle w:val="ad"/>
        <w:spacing w:after="120" w:line="360" w:lineRule="auto"/>
        <w:ind w:left="360"/>
        <w:jc w:val="both"/>
        <w:rPr>
          <w:rFonts w:ascii="David" w:hAnsi="David" w:cs="David"/>
          <w:sz w:val="24"/>
          <w:szCs w:val="24"/>
        </w:rPr>
      </w:pPr>
    </w:p>
    <w:p w:rsidR="00EB5012" w:rsidRDefault="00EB5012" w:rsidP="003831F4">
      <w:pPr>
        <w:pStyle w:val="ad"/>
        <w:numPr>
          <w:ilvl w:val="0"/>
          <w:numId w:val="2"/>
        </w:numPr>
        <w:spacing w:after="120" w:line="360" w:lineRule="auto"/>
        <w:jc w:val="both"/>
        <w:rPr>
          <w:rFonts w:ascii="David" w:hAnsi="David" w:cs="David"/>
          <w:sz w:val="24"/>
          <w:szCs w:val="24"/>
        </w:rPr>
      </w:pPr>
      <w:r>
        <w:rPr>
          <w:rFonts w:ascii="David" w:hAnsi="David" w:cs="David"/>
          <w:b/>
          <w:bCs/>
          <w:sz w:val="24"/>
          <w:szCs w:val="24"/>
          <w:rtl/>
        </w:rPr>
        <w:t>אשר לטענה כי המבקש לא הוכיח נזק</w:t>
      </w:r>
      <w:r>
        <w:rPr>
          <w:rFonts w:ascii="David" w:hAnsi="David" w:cs="David"/>
          <w:sz w:val="24"/>
          <w:szCs w:val="24"/>
          <w:rtl/>
        </w:rPr>
        <w:t xml:space="preserve"> </w:t>
      </w:r>
      <w:r>
        <w:rPr>
          <w:rFonts w:ascii="David" w:hAnsi="David" w:cs="David"/>
          <w:b/>
          <w:bCs/>
          <w:sz w:val="24"/>
          <w:szCs w:val="24"/>
          <w:rtl/>
        </w:rPr>
        <w:t>לעצמו ו/או לחברי הקבוצה</w:t>
      </w:r>
      <w:r>
        <w:rPr>
          <w:rFonts w:ascii="David" w:hAnsi="David" w:cs="David"/>
          <w:sz w:val="24"/>
          <w:szCs w:val="24"/>
          <w:rtl/>
        </w:rPr>
        <w:t xml:space="preserve">: חוק התקשורת מאפשר פסיקת פיצוי בשל משלוח הודעת פרסומת שלא כחוק ללא הוכחת נזק. </w:t>
      </w:r>
    </w:p>
    <w:p w:rsidR="00EB5012" w:rsidRDefault="00EB5012" w:rsidP="00EB5012">
      <w:pPr>
        <w:pStyle w:val="ad"/>
        <w:rPr>
          <w:rFonts w:ascii="David" w:hAnsi="David" w:cs="David"/>
          <w:sz w:val="24"/>
          <w:szCs w:val="24"/>
        </w:rPr>
      </w:pPr>
    </w:p>
    <w:p w:rsidR="00EB5012" w:rsidRPr="001225E3" w:rsidRDefault="00EB5012" w:rsidP="00EB5012">
      <w:pPr>
        <w:pStyle w:val="ad"/>
        <w:spacing w:after="120" w:line="360" w:lineRule="auto"/>
        <w:ind w:left="360"/>
        <w:jc w:val="both"/>
        <w:rPr>
          <w:rFonts w:ascii="David" w:hAnsi="David" w:cs="David"/>
          <w:sz w:val="24"/>
          <w:szCs w:val="24"/>
          <w:rtl/>
        </w:rPr>
      </w:pPr>
      <w:r>
        <w:rPr>
          <w:rFonts w:ascii="David" w:hAnsi="David" w:cs="David"/>
          <w:sz w:val="24"/>
          <w:szCs w:val="24"/>
          <w:rtl/>
        </w:rPr>
        <w:t>אין צורך בשלב זה להוכיח באופן חלוט כי נגרם למבקש נזק ובוודאי לא את שיעורו המדויק (סעיף 4(ב)(1) לחוק תובענות ייצוגיות: "</w:t>
      </w:r>
      <w:r w:rsidRPr="001225E3">
        <w:rPr>
          <w:rFonts w:ascii="David" w:hAnsi="David" w:cs="David"/>
          <w:sz w:val="24"/>
          <w:szCs w:val="24"/>
          <w:rtl/>
        </w:rPr>
        <w:t xml:space="preserve">בבקשה לאישור שהוגשה בידי אדם כאמור בסעיף קטן (א)(1) – די בכך שהמבקש יראה כי לכאורה נגרם לו נזק"). לפיכך טענה זו נדחית.   </w:t>
      </w:r>
    </w:p>
    <w:p w:rsidR="002011FD" w:rsidRDefault="002011FD" w:rsidP="00EB5012">
      <w:pPr>
        <w:pStyle w:val="ad"/>
        <w:spacing w:after="120" w:line="360" w:lineRule="auto"/>
        <w:ind w:left="360"/>
        <w:jc w:val="both"/>
        <w:rPr>
          <w:rFonts w:cs="David"/>
          <w:sz w:val="24"/>
          <w:szCs w:val="24"/>
        </w:rPr>
      </w:pPr>
    </w:p>
    <w:p w:rsidR="00EB5012" w:rsidRDefault="00EB5012" w:rsidP="00EB5012">
      <w:pPr>
        <w:pStyle w:val="ad"/>
        <w:numPr>
          <w:ilvl w:val="0"/>
          <w:numId w:val="2"/>
        </w:numPr>
        <w:spacing w:after="120" w:line="360" w:lineRule="auto"/>
        <w:jc w:val="both"/>
        <w:rPr>
          <w:rFonts w:ascii="David" w:hAnsi="David"/>
          <w:b/>
          <w:bCs/>
        </w:rPr>
      </w:pPr>
      <w:r>
        <w:rPr>
          <w:rFonts w:ascii="David" w:hAnsi="David" w:cs="David"/>
          <w:sz w:val="24"/>
          <w:szCs w:val="24"/>
          <w:rtl/>
        </w:rPr>
        <w:t xml:space="preserve">סיכומו של דבר, מצאתי כי הבקשה והתובענה מעוררות שאלות מהותיות של עובדה או משפט המשותפות לכלל חברי הקבוצה, אם כי היקפה מצומצם ביחס לבקשה כאמור לעיל, ויש אפשרות סבירה שהן יוכרעו בתובענה לטובת הקבוצה. כן מצאתי כי תובענה ייצוגית היא הדרך היעילה וההוגנת להכרעה במחלוקת בנסיבות העניין. </w:t>
      </w:r>
    </w:p>
    <w:p w:rsidR="002011FD" w:rsidRDefault="002011FD" w:rsidP="00EB5012">
      <w:pPr>
        <w:pStyle w:val="ad"/>
        <w:spacing w:after="120" w:line="360" w:lineRule="auto"/>
        <w:ind w:left="360"/>
        <w:jc w:val="both"/>
        <w:rPr>
          <w:rFonts w:ascii="David" w:hAnsi="David" w:cs="David"/>
          <w:sz w:val="24"/>
          <w:szCs w:val="24"/>
          <w:rtl/>
        </w:rPr>
      </w:pPr>
    </w:p>
    <w:p w:rsidR="00EB5012" w:rsidRDefault="00EB5012" w:rsidP="00EB5012">
      <w:pPr>
        <w:pStyle w:val="ad"/>
        <w:spacing w:after="120" w:line="360" w:lineRule="auto"/>
        <w:ind w:left="360"/>
        <w:jc w:val="both"/>
        <w:rPr>
          <w:rFonts w:ascii="David" w:hAnsi="David"/>
          <w:b/>
          <w:bCs/>
          <w:rtl/>
        </w:rPr>
      </w:pPr>
      <w:r>
        <w:rPr>
          <w:rFonts w:ascii="David" w:hAnsi="David" w:cs="David"/>
          <w:sz w:val="24"/>
          <w:szCs w:val="24"/>
          <w:rtl/>
        </w:rPr>
        <w:t>עוד מצאתי כי קיים יסוד סביר להניח כי עניינם של כלל חברי הקבוצה ייוצג וינוהל בדרך הולמת וכי קיים יסוד סביר להניח כי עניינם של כלל חברי הקבוצה ייוצג וינוהל בתום לב.</w:t>
      </w:r>
    </w:p>
    <w:p w:rsidR="00EB5012" w:rsidRDefault="00EB5012" w:rsidP="00EB5012">
      <w:pPr>
        <w:pStyle w:val="ad"/>
        <w:spacing w:after="120" w:line="360" w:lineRule="auto"/>
        <w:ind w:left="360"/>
        <w:jc w:val="both"/>
        <w:rPr>
          <w:rFonts w:ascii="David" w:hAnsi="David"/>
          <w:b/>
          <w:bCs/>
          <w:rtl/>
        </w:rPr>
      </w:pPr>
    </w:p>
    <w:p w:rsidR="00EB5012" w:rsidRDefault="00EB5012" w:rsidP="00EB5012">
      <w:pPr>
        <w:spacing w:after="120" w:line="360" w:lineRule="auto"/>
        <w:jc w:val="both"/>
        <w:rPr>
          <w:sz w:val="28"/>
          <w:szCs w:val="28"/>
        </w:rPr>
      </w:pPr>
      <w:r>
        <w:rPr>
          <w:rFonts w:ascii="David" w:hAnsi="David"/>
          <w:b/>
          <w:bCs/>
          <w:rtl/>
        </w:rPr>
        <w:t xml:space="preserve"> </w:t>
      </w:r>
      <w:r>
        <w:rPr>
          <w:b/>
          <w:bCs/>
          <w:sz w:val="28"/>
          <w:szCs w:val="28"/>
          <w:rtl/>
        </w:rPr>
        <w:t xml:space="preserve">יב. </w:t>
      </w:r>
      <w:r>
        <w:rPr>
          <w:b/>
          <w:bCs/>
          <w:sz w:val="28"/>
          <w:szCs w:val="28"/>
          <w:u w:val="single"/>
          <w:rtl/>
        </w:rPr>
        <w:t>סוף דבר</w:t>
      </w:r>
    </w:p>
    <w:p w:rsidR="00EB5012" w:rsidRDefault="00EB5012" w:rsidP="00EB5012">
      <w:pPr>
        <w:pStyle w:val="ad"/>
        <w:spacing w:after="120" w:line="360" w:lineRule="auto"/>
        <w:ind w:left="360"/>
        <w:jc w:val="both"/>
        <w:rPr>
          <w:rFonts w:ascii="David" w:hAnsi="David"/>
          <w:b/>
          <w:bCs/>
          <w:rtl/>
        </w:rPr>
      </w:pPr>
    </w:p>
    <w:p w:rsidR="00B745AA" w:rsidRDefault="00EB5012" w:rsidP="00B745AA">
      <w:pPr>
        <w:pStyle w:val="ad"/>
        <w:numPr>
          <w:ilvl w:val="0"/>
          <w:numId w:val="2"/>
        </w:numPr>
        <w:spacing w:line="360" w:lineRule="atLeast"/>
        <w:jc w:val="both"/>
        <w:rPr>
          <w:rFonts w:ascii="David" w:hAnsi="David" w:cs="David"/>
          <w:sz w:val="24"/>
          <w:szCs w:val="24"/>
        </w:rPr>
      </w:pPr>
      <w:r w:rsidRPr="00A2681A">
        <w:rPr>
          <w:rFonts w:ascii="David" w:hAnsi="David" w:cs="David"/>
          <w:sz w:val="24"/>
          <w:szCs w:val="24"/>
          <w:rtl/>
        </w:rPr>
        <w:t xml:space="preserve">לאור האמור, הבקשה נגד משיבה 1 מתקבלת.  </w:t>
      </w:r>
      <w:r w:rsidR="00A2681A" w:rsidRPr="00A2681A">
        <w:rPr>
          <w:rFonts w:ascii="David" w:hAnsi="David" w:cs="David"/>
          <w:sz w:val="24"/>
          <w:szCs w:val="24"/>
          <w:rtl/>
        </w:rPr>
        <w:t xml:space="preserve">הבקשה נגד משיבים 2-14 נדחית. </w:t>
      </w:r>
    </w:p>
    <w:p w:rsidR="00B745AA" w:rsidRDefault="00B745AA" w:rsidP="00B745AA">
      <w:pPr>
        <w:pStyle w:val="ad"/>
        <w:spacing w:line="360" w:lineRule="atLeast"/>
        <w:ind w:left="360"/>
        <w:jc w:val="both"/>
        <w:rPr>
          <w:rFonts w:ascii="David" w:hAnsi="David" w:cs="David"/>
          <w:sz w:val="24"/>
          <w:szCs w:val="24"/>
        </w:rPr>
      </w:pPr>
    </w:p>
    <w:p w:rsidR="00A2681A" w:rsidRDefault="00A2681A" w:rsidP="00B745AA">
      <w:pPr>
        <w:pStyle w:val="ad"/>
        <w:numPr>
          <w:ilvl w:val="0"/>
          <w:numId w:val="2"/>
        </w:numPr>
        <w:spacing w:line="360" w:lineRule="atLeast"/>
        <w:jc w:val="both"/>
        <w:rPr>
          <w:rFonts w:ascii="David" w:hAnsi="David" w:cs="David"/>
          <w:sz w:val="24"/>
          <w:szCs w:val="24"/>
        </w:rPr>
      </w:pPr>
      <w:r>
        <w:rPr>
          <w:rFonts w:ascii="David" w:hAnsi="David" w:cs="David"/>
          <w:sz w:val="24"/>
          <w:szCs w:val="24"/>
          <w:rtl/>
        </w:rPr>
        <w:t xml:space="preserve">כתב הגנה יוגש </w:t>
      </w:r>
      <w:r w:rsidR="00B54DE4">
        <w:rPr>
          <w:rFonts w:ascii="David" w:hAnsi="David" w:cs="David" w:hint="cs"/>
          <w:sz w:val="24"/>
          <w:szCs w:val="24"/>
          <w:rtl/>
        </w:rPr>
        <w:t>עד 22.9.24. גילוי ועיון יבוצעו תוך 30 יום מ</w:t>
      </w:r>
      <w:r w:rsidR="00ED5D93">
        <w:rPr>
          <w:rFonts w:ascii="David" w:hAnsi="David" w:cs="David" w:hint="cs"/>
          <w:sz w:val="24"/>
          <w:szCs w:val="24"/>
          <w:rtl/>
        </w:rPr>
        <w:t xml:space="preserve">הגשת </w:t>
      </w:r>
      <w:r w:rsidR="00B54DE4">
        <w:rPr>
          <w:rFonts w:ascii="David" w:hAnsi="David" w:cs="David" w:hint="cs"/>
          <w:sz w:val="24"/>
          <w:szCs w:val="24"/>
          <w:rtl/>
        </w:rPr>
        <w:t xml:space="preserve">כתב </w:t>
      </w:r>
      <w:r w:rsidR="00ED5D93">
        <w:rPr>
          <w:rFonts w:ascii="David" w:hAnsi="David" w:cs="David" w:hint="cs"/>
          <w:sz w:val="24"/>
          <w:szCs w:val="24"/>
          <w:rtl/>
        </w:rPr>
        <w:t>ה</w:t>
      </w:r>
      <w:r w:rsidR="00B54DE4">
        <w:rPr>
          <w:rFonts w:ascii="David" w:hAnsi="David" w:cs="David" w:hint="cs"/>
          <w:sz w:val="24"/>
          <w:szCs w:val="24"/>
          <w:rtl/>
        </w:rPr>
        <w:t xml:space="preserve">הגנה, במקביל. </w:t>
      </w:r>
      <w:r w:rsidR="00B745AA">
        <w:rPr>
          <w:rFonts w:ascii="David" w:hAnsi="David" w:cs="David" w:hint="cs"/>
          <w:sz w:val="24"/>
          <w:szCs w:val="24"/>
          <w:rtl/>
        </w:rPr>
        <w:t xml:space="preserve">הצדדים יפעלו לגבי יתר העניינים המקדמיים כאמור בתקנות סדר הדין האזרחי, התשע"ט </w:t>
      </w:r>
      <w:r w:rsidR="00B745AA">
        <w:rPr>
          <w:rFonts w:ascii="David" w:hAnsi="David" w:cs="David"/>
          <w:sz w:val="24"/>
          <w:szCs w:val="24"/>
          <w:rtl/>
        </w:rPr>
        <w:t>–</w:t>
      </w:r>
      <w:r w:rsidR="00B745AA">
        <w:rPr>
          <w:rFonts w:ascii="David" w:hAnsi="David" w:cs="David" w:hint="cs"/>
          <w:sz w:val="24"/>
          <w:szCs w:val="24"/>
          <w:rtl/>
        </w:rPr>
        <w:t xml:space="preserve"> 2018. </w:t>
      </w:r>
      <w:r>
        <w:rPr>
          <w:rFonts w:ascii="David" w:hAnsi="David" w:cs="David"/>
          <w:sz w:val="24"/>
          <w:szCs w:val="24"/>
          <w:rtl/>
        </w:rPr>
        <w:t xml:space="preserve">  </w:t>
      </w:r>
    </w:p>
    <w:p w:rsidR="00EB5012" w:rsidRDefault="00EB5012" w:rsidP="00EB5012">
      <w:pPr>
        <w:pStyle w:val="ad"/>
        <w:spacing w:line="360" w:lineRule="atLeast"/>
        <w:ind w:left="360"/>
        <w:jc w:val="both"/>
        <w:rPr>
          <w:rFonts w:cs="Times New Roman"/>
          <w:color w:val="000000"/>
          <w:sz w:val="27"/>
          <w:szCs w:val="27"/>
        </w:rPr>
      </w:pPr>
    </w:p>
    <w:p w:rsidR="00EB5012" w:rsidRDefault="00EB5012" w:rsidP="00EB5012">
      <w:pPr>
        <w:pStyle w:val="ad"/>
        <w:numPr>
          <w:ilvl w:val="0"/>
          <w:numId w:val="2"/>
        </w:numPr>
        <w:spacing w:line="360" w:lineRule="atLeast"/>
        <w:jc w:val="both"/>
        <w:rPr>
          <w:rFonts w:cs="Times New Roman"/>
          <w:color w:val="000000"/>
          <w:sz w:val="27"/>
          <w:szCs w:val="27"/>
        </w:rPr>
      </w:pPr>
      <w:r>
        <w:rPr>
          <w:rFonts w:ascii="David" w:hAnsi="David" w:cs="David"/>
          <w:sz w:val="24"/>
          <w:szCs w:val="24"/>
          <w:rtl/>
        </w:rPr>
        <w:lastRenderedPageBreak/>
        <w:t xml:space="preserve">התובעים המייצגים יהיו מיוצגים על ידי עו"ד אייל אבידן. </w:t>
      </w:r>
    </w:p>
    <w:p w:rsidR="00EB5012" w:rsidRDefault="00EB5012" w:rsidP="00EB5012">
      <w:pPr>
        <w:pStyle w:val="ad"/>
        <w:rPr>
          <w:rFonts w:ascii="David" w:hAnsi="David" w:cs="David"/>
          <w:sz w:val="24"/>
          <w:szCs w:val="24"/>
        </w:rPr>
      </w:pPr>
    </w:p>
    <w:p w:rsidR="00EB5012" w:rsidRPr="00ED5D93" w:rsidRDefault="00EB5012" w:rsidP="00A2681A">
      <w:pPr>
        <w:pStyle w:val="ad"/>
        <w:numPr>
          <w:ilvl w:val="0"/>
          <w:numId w:val="2"/>
        </w:numPr>
        <w:spacing w:line="360" w:lineRule="atLeast"/>
        <w:jc w:val="both"/>
        <w:rPr>
          <w:rFonts w:cs="Times New Roman"/>
          <w:color w:val="000000"/>
          <w:sz w:val="27"/>
          <w:szCs w:val="27"/>
          <w:rtl/>
        </w:rPr>
      </w:pPr>
      <w:r>
        <w:rPr>
          <w:rFonts w:ascii="David" w:hAnsi="David" w:cs="David"/>
          <w:sz w:val="24"/>
          <w:szCs w:val="24"/>
          <w:rtl/>
        </w:rPr>
        <w:t xml:space="preserve">הקבוצה תכלול את כל הנמענים שקיבלו באמצעות מסרונים דברי פרסומת אשר תוכנם עשוי לפרסם את המועדון, וזאת מבלי שנתנו לכך הסכמה מפורשת מראש ובכתב ו/או מבלי שמסרו למשיבה 1 את פרטי ההתקשרות עמם ו/או מבלי שצוינו במסרונים שמן של המשיבות או דרכי יצירת הקשר עמם. זאת, </w:t>
      </w:r>
      <w:r w:rsidRPr="00ED5D93">
        <w:rPr>
          <w:rFonts w:ascii="David" w:hAnsi="David" w:cs="David"/>
          <w:sz w:val="24"/>
          <w:szCs w:val="24"/>
          <w:rtl/>
        </w:rPr>
        <w:t>בתקופת ליין המסיבות ובקשר לאירועים במועדון, בימי חמישי בחודשים אפריל - ספטמבר 2021.</w:t>
      </w:r>
      <w:r w:rsidRPr="00ED5D93">
        <w:rPr>
          <w:rFonts w:ascii="David" w:hAnsi="David"/>
          <w:color w:val="000000"/>
          <w:sz w:val="27"/>
          <w:szCs w:val="27"/>
          <w:rtl/>
        </w:rPr>
        <w:t xml:space="preserve"> </w:t>
      </w:r>
    </w:p>
    <w:p w:rsidR="00EB5012" w:rsidRDefault="00EB5012" w:rsidP="00EB5012">
      <w:pPr>
        <w:pStyle w:val="ad"/>
        <w:spacing w:line="360" w:lineRule="atLeast"/>
        <w:ind w:left="360"/>
        <w:jc w:val="both"/>
        <w:rPr>
          <w:rFonts w:cs="Times New Roman"/>
          <w:color w:val="000000"/>
          <w:sz w:val="27"/>
          <w:szCs w:val="27"/>
          <w:rtl/>
        </w:rPr>
      </w:pPr>
    </w:p>
    <w:p w:rsidR="00A3751E" w:rsidRDefault="00EB5012" w:rsidP="00A3751E">
      <w:pPr>
        <w:pStyle w:val="ad"/>
        <w:numPr>
          <w:ilvl w:val="0"/>
          <w:numId w:val="2"/>
        </w:numPr>
        <w:spacing w:line="360" w:lineRule="atLeast"/>
        <w:jc w:val="both"/>
        <w:rPr>
          <w:rFonts w:ascii="David" w:hAnsi="David" w:cs="David"/>
          <w:sz w:val="24"/>
          <w:szCs w:val="24"/>
          <w:rtl/>
        </w:rPr>
      </w:pPr>
      <w:r>
        <w:rPr>
          <w:rFonts w:ascii="David" w:hAnsi="David" w:cs="David"/>
          <w:sz w:val="24"/>
          <w:szCs w:val="24"/>
          <w:rtl/>
        </w:rPr>
        <w:t xml:space="preserve">מודעה על קבלת הבקשה תפורסם ביומונים "ידיעות אחרונות" ו"גלובס", ושטחה לא יפחת מרבע עמוד. בהוצאות המודעה תישא המשיבה 1. ב"כ המבקש ידאג לפרסמה </w:t>
      </w:r>
      <w:r w:rsidR="00A3751E">
        <w:rPr>
          <w:rFonts w:ascii="David" w:hAnsi="David" w:cs="David" w:hint="cs"/>
          <w:sz w:val="24"/>
          <w:szCs w:val="24"/>
          <w:rtl/>
        </w:rPr>
        <w:t xml:space="preserve">תוך 15 ימים </w:t>
      </w:r>
      <w:r>
        <w:rPr>
          <w:rFonts w:ascii="David" w:hAnsi="David" w:cs="David"/>
          <w:sz w:val="24"/>
          <w:szCs w:val="24"/>
          <w:rtl/>
        </w:rPr>
        <w:t>ויודיע על כך.</w:t>
      </w:r>
      <w:r w:rsidR="00A3751E" w:rsidRPr="00A3751E">
        <w:rPr>
          <w:rFonts w:ascii="David" w:hAnsi="David" w:cs="David"/>
          <w:sz w:val="24"/>
          <w:szCs w:val="24"/>
          <w:rtl/>
        </w:rPr>
        <w:t xml:space="preserve"> </w:t>
      </w:r>
      <w:r w:rsidR="00A3751E">
        <w:rPr>
          <w:rFonts w:ascii="David" w:hAnsi="David" w:cs="David"/>
          <w:sz w:val="24"/>
          <w:szCs w:val="24"/>
          <w:rtl/>
        </w:rPr>
        <w:t xml:space="preserve">ב"כ המבקש יודיע על אודות קבלת בקשת האישור לכל גורם שיש להודיעו לפי חוק תובענות ייצוגיות ותקנותיו. </w:t>
      </w:r>
    </w:p>
    <w:p w:rsidR="00EB5012" w:rsidRDefault="00EB5012" w:rsidP="00EB5012">
      <w:pPr>
        <w:spacing w:line="360" w:lineRule="atLeast"/>
        <w:jc w:val="both"/>
        <w:rPr>
          <w:highlight w:val="yellow"/>
        </w:rPr>
      </w:pPr>
    </w:p>
    <w:p w:rsidR="00EB5012" w:rsidRDefault="00EB5012" w:rsidP="007022CF">
      <w:pPr>
        <w:pStyle w:val="ad"/>
        <w:numPr>
          <w:ilvl w:val="0"/>
          <w:numId w:val="2"/>
        </w:numPr>
        <w:spacing w:after="120" w:line="360" w:lineRule="auto"/>
        <w:jc w:val="both"/>
        <w:rPr>
          <w:rFonts w:cs="David"/>
          <w:sz w:val="24"/>
          <w:szCs w:val="24"/>
        </w:rPr>
      </w:pPr>
      <w:r>
        <w:rPr>
          <w:rFonts w:cs="David"/>
          <w:sz w:val="24"/>
          <w:szCs w:val="24"/>
          <w:rtl/>
        </w:rPr>
        <w:t>המשיבה 1 תשלם למבקש הוצאות הבקשה בסך 35,000 ₪</w:t>
      </w:r>
      <w:r w:rsidR="007022CF">
        <w:rPr>
          <w:rFonts w:cs="David" w:hint="cs"/>
          <w:sz w:val="24"/>
          <w:szCs w:val="24"/>
          <w:rtl/>
        </w:rPr>
        <w:t xml:space="preserve"> (הובא בחשבון גם כי המשיבה 1 חרגה בסיכומיה משלימים מהוראת בית המשפט באופן שחייב את המבקש להתייחס לחריגה)</w:t>
      </w:r>
      <w:r>
        <w:rPr>
          <w:rFonts w:cs="David"/>
          <w:sz w:val="24"/>
          <w:szCs w:val="24"/>
          <w:rtl/>
        </w:rPr>
        <w:t>. בהינתן שהבקשה נגד משיבים 2-14 נדחתה, המבקש ישלם למשיבים אלה (כולם יחד) סך 30,000  ₪.</w:t>
      </w:r>
    </w:p>
    <w:p w:rsidR="00EB5012" w:rsidRDefault="00EB5012" w:rsidP="00EB5012">
      <w:pPr>
        <w:pStyle w:val="ad"/>
        <w:spacing w:after="120" w:line="360" w:lineRule="auto"/>
        <w:ind w:left="360"/>
        <w:jc w:val="both"/>
        <w:rPr>
          <w:rFonts w:cs="David"/>
          <w:sz w:val="24"/>
          <w:szCs w:val="24"/>
        </w:rPr>
      </w:pPr>
    </w:p>
    <w:p w:rsidR="00EB5012" w:rsidRDefault="00EB5012" w:rsidP="00B54DE4">
      <w:pPr>
        <w:pStyle w:val="ad"/>
        <w:numPr>
          <w:ilvl w:val="0"/>
          <w:numId w:val="2"/>
        </w:numPr>
        <w:spacing w:after="120" w:line="360" w:lineRule="auto"/>
        <w:jc w:val="both"/>
        <w:rPr>
          <w:rFonts w:cs="David"/>
          <w:sz w:val="24"/>
          <w:szCs w:val="24"/>
        </w:rPr>
      </w:pPr>
      <w:r>
        <w:rPr>
          <w:rFonts w:cs="David"/>
          <w:b/>
          <w:bCs/>
          <w:sz w:val="24"/>
          <w:szCs w:val="24"/>
          <w:u w:val="single"/>
          <w:rtl/>
        </w:rPr>
        <w:t xml:space="preserve">נקבע לקדם משפט ליום </w:t>
      </w:r>
      <w:r w:rsidR="00B54DE4">
        <w:rPr>
          <w:rFonts w:cs="David" w:hint="cs"/>
          <w:b/>
          <w:bCs/>
          <w:sz w:val="24"/>
          <w:szCs w:val="24"/>
          <w:u w:val="single"/>
          <w:rtl/>
        </w:rPr>
        <w:t>10</w:t>
      </w:r>
      <w:r>
        <w:rPr>
          <w:rFonts w:cs="David"/>
          <w:b/>
          <w:bCs/>
          <w:sz w:val="24"/>
          <w:szCs w:val="24"/>
          <w:u w:val="single"/>
          <w:rtl/>
        </w:rPr>
        <w:t>.</w:t>
      </w:r>
      <w:r w:rsidR="00B54DE4">
        <w:rPr>
          <w:rFonts w:cs="David" w:hint="cs"/>
          <w:b/>
          <w:bCs/>
          <w:sz w:val="24"/>
          <w:szCs w:val="24"/>
          <w:u w:val="single"/>
          <w:rtl/>
        </w:rPr>
        <w:t>11</w:t>
      </w:r>
      <w:r>
        <w:rPr>
          <w:rFonts w:cs="David"/>
          <w:b/>
          <w:bCs/>
          <w:sz w:val="24"/>
          <w:szCs w:val="24"/>
          <w:u w:val="single"/>
          <w:rtl/>
        </w:rPr>
        <w:t>.2</w:t>
      </w:r>
      <w:r w:rsidR="00B54DE4">
        <w:rPr>
          <w:rFonts w:cs="David" w:hint="cs"/>
          <w:b/>
          <w:bCs/>
          <w:sz w:val="24"/>
          <w:szCs w:val="24"/>
          <w:u w:val="single"/>
          <w:rtl/>
        </w:rPr>
        <w:t>4</w:t>
      </w:r>
      <w:r>
        <w:rPr>
          <w:rFonts w:cs="David"/>
          <w:b/>
          <w:bCs/>
          <w:sz w:val="24"/>
          <w:szCs w:val="24"/>
          <w:u w:val="single"/>
          <w:rtl/>
        </w:rPr>
        <w:t xml:space="preserve"> שעה </w:t>
      </w:r>
      <w:r w:rsidR="00B54DE4">
        <w:rPr>
          <w:rFonts w:cs="David" w:hint="cs"/>
          <w:b/>
          <w:bCs/>
          <w:sz w:val="24"/>
          <w:szCs w:val="24"/>
          <w:u w:val="single"/>
          <w:rtl/>
        </w:rPr>
        <w:t>11</w:t>
      </w:r>
      <w:r>
        <w:rPr>
          <w:rFonts w:cs="David"/>
          <w:b/>
          <w:bCs/>
          <w:sz w:val="24"/>
          <w:szCs w:val="24"/>
          <w:u w:val="single"/>
          <w:rtl/>
        </w:rPr>
        <w:t>:</w:t>
      </w:r>
      <w:r w:rsidR="00B54DE4">
        <w:rPr>
          <w:rFonts w:cs="David" w:hint="cs"/>
          <w:b/>
          <w:bCs/>
          <w:sz w:val="24"/>
          <w:szCs w:val="24"/>
          <w:u w:val="single"/>
          <w:rtl/>
        </w:rPr>
        <w:t>3</w:t>
      </w:r>
      <w:r>
        <w:rPr>
          <w:rFonts w:cs="David"/>
          <w:b/>
          <w:bCs/>
          <w:sz w:val="24"/>
          <w:szCs w:val="24"/>
          <w:u w:val="single"/>
          <w:rtl/>
        </w:rPr>
        <w:t>0</w:t>
      </w:r>
      <w:r>
        <w:rPr>
          <w:rFonts w:cs="David"/>
          <w:sz w:val="24"/>
          <w:szCs w:val="24"/>
          <w:rtl/>
        </w:rPr>
        <w:t xml:space="preserve">. </w:t>
      </w:r>
    </w:p>
    <w:p w:rsidR="00EB5012" w:rsidRDefault="00EB5012" w:rsidP="00EB5012">
      <w:pPr>
        <w:pStyle w:val="ad"/>
        <w:spacing w:after="120" w:line="360" w:lineRule="auto"/>
        <w:ind w:left="360"/>
        <w:jc w:val="both"/>
        <w:rPr>
          <w:rFonts w:cs="David"/>
          <w:b/>
          <w:bCs/>
          <w:sz w:val="24"/>
          <w:szCs w:val="24"/>
          <w:u w:val="single"/>
          <w:rtl/>
        </w:rPr>
      </w:pPr>
    </w:p>
    <w:p w:rsidR="00EB5012" w:rsidRDefault="00EB5012" w:rsidP="00EB5012">
      <w:pPr>
        <w:pStyle w:val="ad"/>
        <w:spacing w:after="120" w:line="360" w:lineRule="auto"/>
        <w:ind w:left="360"/>
        <w:jc w:val="both"/>
        <w:rPr>
          <w:rFonts w:ascii="David" w:hAnsi="David" w:cs="David"/>
          <w:b/>
          <w:bCs/>
          <w:sz w:val="24"/>
          <w:szCs w:val="24"/>
          <w:u w:val="single"/>
          <w:rtl/>
        </w:rPr>
      </w:pPr>
      <w:r>
        <w:rPr>
          <w:rFonts w:ascii="David" w:hAnsi="David" w:cs="David"/>
          <w:b/>
          <w:bCs/>
          <w:sz w:val="24"/>
          <w:szCs w:val="24"/>
          <w:u w:val="single"/>
          <w:rtl/>
        </w:rPr>
        <w:t>המזכירות תשגר ההחלטה לצדדים ולמנהל בתי המשפט על מנת שירשום הדבר בפנקס תובענות ייצוגיות</w:t>
      </w:r>
      <w:r>
        <w:rPr>
          <w:rFonts w:ascii="David" w:hAnsi="David" w:cs="David"/>
          <w:b/>
          <w:bCs/>
          <w:sz w:val="24"/>
          <w:szCs w:val="24"/>
          <w:rtl/>
        </w:rPr>
        <w:t>.</w:t>
      </w:r>
      <w:r>
        <w:rPr>
          <w:rFonts w:ascii="David" w:hAnsi="David" w:cs="David"/>
          <w:b/>
          <w:bCs/>
          <w:sz w:val="24"/>
          <w:szCs w:val="24"/>
          <w:u w:val="single"/>
          <w:rtl/>
        </w:rPr>
        <w:t xml:space="preserve"> </w:t>
      </w:r>
    </w:p>
    <w:p w:rsidR="00694556" w:rsidRDefault="00694556">
      <w:pPr>
        <w:spacing w:line="360" w:lineRule="auto"/>
        <w:jc w:val="both"/>
        <w:rPr>
          <w:rFonts w:ascii="Arial" w:hAnsi="Arial"/>
          <w:noProof w:val="0"/>
          <w:rtl/>
        </w:rPr>
      </w:pPr>
    </w:p>
    <w:p w:rsidR="00694556" w:rsidRDefault="0043502B" w:rsidP="00215120">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hint="cs"/>
              <w:noProof w:val="0"/>
              <w:rtl/>
            </w:rPr>
            <w:t>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יולי 2024</w:t>
          </w:r>
        </w:sdtContent>
      </w:sdt>
      <w:r w:rsidR="00005C8B">
        <w:rPr>
          <w:rFonts w:ascii="Arial" w:hAnsi="Arial"/>
          <w:noProof w:val="0"/>
          <w:rtl/>
        </w:rPr>
        <w:t>, בהעדר הצדדים.</w:t>
      </w:r>
    </w:p>
    <w:p w:rsidR="00C43648" w:rsidRDefault="001C6365"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Pr="00AA0009" w:rsidRDefault="00BD6531" w:rsidP="00AA0009">
      <w:pPr>
        <w:tabs>
          <w:tab w:val="left" w:pos="2553"/>
        </w:tabs>
        <w:rPr>
          <w:rtl/>
        </w:rPr>
      </w:pPr>
      <w:r>
        <w:rPr>
          <w:rFonts w:hint="cs"/>
          <w:rtl/>
        </w:rPr>
        <w:tab/>
      </w:r>
      <w:r>
        <w:rPr>
          <w:rFonts w:hint="cs"/>
          <w:rtl/>
        </w:rPr>
        <w:tab/>
      </w:r>
      <w:r>
        <w:rPr>
          <w:rFonts w:hint="cs"/>
          <w:rtl/>
        </w:rPr>
        <w:tab/>
      </w:r>
      <w:r>
        <w:rPr>
          <w:rFonts w:hint="cs"/>
          <w:rtl/>
        </w:rPr>
        <w:tab/>
        <w:t xml:space="preserve">        </w:t>
      </w:r>
      <w:sdt>
        <w:sdtPr>
          <w:rPr>
            <w:rtl/>
          </w:rPr>
          <w:alias w:val="MergeField"/>
          <w:tag w:val="1237"/>
          <w:id w:val="-1566714751"/>
        </w:sdtPr>
        <w:sdtEndPr/>
        <w:sdtContent>
          <w:r w:rsidR="007D37ED">
            <w:drawing>
              <wp:inline distT="0" distB="0" distL="0" distR="0" wp14:editId="50D07946">
                <wp:extent cx="2209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209800" cy="1504950"/>
                        </a:xfrm>
                        <a:prstGeom prst="rect">
                          <a:avLst/>
                        </a:prstGeom>
                      </pic:spPr>
                    </pic:pic>
                  </a:graphicData>
                </a:graphic>
              </wp:inline>
            </w:drawing>
          </w:r>
        </w:sdtContent>
      </w:sdt>
    </w:p>
    <w:sectPr w:rsidR="00694556" w:rsidRPr="00AA0009" w:rsidSect="001F5DB6">
      <w:headerReference w:type="default" r:id="rId11"/>
      <w:footerReference w:type="default" r:id="rId12"/>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365" w:rsidRDefault="001C6365">
      <w:r>
        <w:separator/>
      </w:r>
    </w:p>
  </w:endnote>
  <w:endnote w:type="continuationSeparator" w:id="0">
    <w:p w:rsidR="001C6365" w:rsidRDefault="001C6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C60D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C60DB">
      <w:rPr>
        <w:rStyle w:val="ab"/>
        <w:rtl/>
      </w:rPr>
      <w:t>29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365" w:rsidRDefault="001C6365">
      <w:r>
        <w:separator/>
      </w:r>
    </w:p>
  </w:footnote>
  <w:footnote w:type="continuationSeparator" w:id="0">
    <w:p w:rsidR="001C6365" w:rsidRDefault="001C6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B95A71">
      <w:trPr>
        <w:trHeight w:hRule="exact" w:val="993"/>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FA4EAF">
      <w:trPr>
        <w:trHeight w:val="337"/>
        <w:jc w:val="center"/>
      </w:trPr>
      <w:tc>
        <w:tcPr>
          <w:tcW w:w="8721" w:type="dxa"/>
          <w:gridSpan w:val="2"/>
        </w:tcPr>
        <w:p w:rsidR="007D45E3" w:rsidRPr="00FA4EAF" w:rsidRDefault="001C6365" w:rsidP="007D45E3">
          <w:pPr>
            <w:rPr>
              <w:b/>
              <w:bCs/>
              <w:noProof w:val="0"/>
              <w:sz w:val="26"/>
              <w:szCs w:val="26"/>
              <w:rtl/>
            </w:rPr>
          </w:pPr>
          <w:sdt>
            <w:sdtPr>
              <w:rPr>
                <w:sz w:val="26"/>
                <w:szCs w:val="26"/>
                <w:rtl/>
              </w:rPr>
              <w:alias w:val="1170"/>
              <w:tag w:val="1170"/>
              <w:id w:val="1066377040"/>
              <w:text w:multiLine="1"/>
            </w:sdtPr>
            <w:sdtEndPr/>
            <w:sdtContent>
              <w:r w:rsidR="001F5DB6">
                <w:rPr>
                  <w:b/>
                  <w:bCs/>
                  <w:noProof w:val="0"/>
                  <w:sz w:val="26"/>
                  <w:szCs w:val="26"/>
                  <w:rtl/>
                </w:rPr>
                <w:t>ת"צ</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F5DB6">
                <w:rPr>
                  <w:b/>
                  <w:bCs/>
                  <w:noProof w:val="0"/>
                  <w:sz w:val="26"/>
                  <w:szCs w:val="26"/>
                  <w:rtl/>
                </w:rPr>
                <w:t>11446-08-21</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F5DB6">
                <w:rPr>
                  <w:b/>
                  <w:bCs/>
                  <w:noProof w:val="0"/>
                  <w:sz w:val="26"/>
                  <w:szCs w:val="26"/>
                  <w:rtl/>
                </w:rPr>
                <w:t>דור נ' לייט האוס 23 בע"מ ואח'</w:t>
              </w:r>
            </w:sdtContent>
          </w:sdt>
        </w:p>
        <w:p w:rsidR="007D45E3" w:rsidRPr="00FA4EAF" w:rsidRDefault="007D45E3" w:rsidP="007D45E3">
          <w:pPr>
            <w:rPr>
              <w:b/>
              <w:bCs/>
              <w:noProof w:val="0"/>
              <w:sz w:val="26"/>
              <w:szCs w:val="26"/>
              <w:rtl/>
            </w:rPr>
          </w:pPr>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461959"/>
    <w:multiLevelType w:val="hybridMultilevel"/>
    <w:tmpl w:val="58BA6A6E"/>
    <w:lvl w:ilvl="0" w:tplc="8946C1AE">
      <w:start w:val="1"/>
      <w:numFmt w:val="hebrew1"/>
      <w:lvlText w:val="%1."/>
      <w:lvlJc w:val="left"/>
      <w:pPr>
        <w:ind w:left="360" w:hanging="360"/>
      </w:pPr>
      <w:rPr>
        <w:b/>
        <w:bCs/>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61030E6C"/>
    <w:multiLevelType w:val="hybridMultilevel"/>
    <w:tmpl w:val="44A4CB30"/>
    <w:lvl w:ilvl="0" w:tplc="4E5ED7FE">
      <w:start w:val="1"/>
      <w:numFmt w:val="decimal"/>
      <w:lvlText w:val="%1."/>
      <w:lvlJc w:val="left"/>
      <w:pPr>
        <w:ind w:left="360" w:hanging="360"/>
      </w:pPr>
      <w:rPr>
        <w:rFonts w:ascii="David" w:hAnsi="David" w:cs="David" w:hint="default"/>
        <w:b w:val="0"/>
        <w:bCs w:val="0"/>
        <w:color w:val="auto"/>
        <w:sz w:val="24"/>
        <w:szCs w:val="24"/>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4580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45807&amp;lt;/CaseID&amp;gt;_x000d__x000a_        &amp;lt;CaseMonth&amp;gt;8&amp;lt;/CaseMonth&amp;gt;_x000d__x000a_        &amp;lt;CaseYear&amp;gt;2021&amp;lt;/CaseYear&amp;gt;_x000d__x000a_        &amp;lt;CaseNumber&amp;gt;11446&amp;lt;/CaseNumber&amp;gt;_x000d__x000a_        &amp;lt;NumeratorGroupID&amp;gt;1&amp;lt;/NumeratorGroupID&amp;gt;_x000d__x000a_        &amp;lt;CaseName&amp;gt;דור נ&amp;#39; לייט האוס 23 בע&amp;quot;מ ואח&amp;#39;&amp;lt;/CaseName&amp;gt;_x000d__x000a_        &amp;lt;CourtID&amp;gt;15&amp;lt;/CourtID&amp;gt;_x000d__x000a_        &amp;lt;CaseTypeID&amp;gt;10036&amp;lt;/CaseTypeID&amp;gt;_x000d__x000a_        &amp;lt;CaseInterestID&amp;gt;10462&amp;lt;/CaseInterestID&amp;gt;_x000d__x000a_        &amp;lt;CaseJudgeName&amp;gt;יעקב שקד&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1446-08-21&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2&amp;lt;/CaseNextDeterminingTask&amp;gt;_x000d__x000a_        &amp;lt;CaseOpenDate&amp;gt;2021-08-03T11:53:00+03:00&amp;lt;/CaseOpenDate&amp;gt;_x000d__x000a_        &amp;lt;PleaTypeID&amp;gt;4&amp;lt;/PleaTypeID&amp;gt;_x000d__x000a_        &amp;lt;CourtLevelID&amp;gt;2&amp;lt;/CourtLevelID&amp;gt;_x000d__x000a_        &amp;lt;CourtLevelCaseTypeInterestID&amp;gt;1622&amp;lt;/CourtLevelCaseTypeInterestID&amp;gt;_x000d__x000a_        &amp;lt;CaseJudgeFirstName&amp;gt;יעקב&amp;lt;/CaseJudgeFirstName&amp;gt;_x000d__x000a_        &amp;lt;CaseJudgeLastName&amp;gt;שקד&amp;lt;/CaseJudgeLastName&amp;gt;_x000d__x000a_        &amp;lt;JudicalPersonID&amp;gt;02397252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לה ללשכה&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45807&amp;lt;/CaseID&amp;gt;_x000d__x000a_        &amp;lt;CaseMonth&amp;gt;8&amp;lt;/CaseMonth&amp;gt;_x000d__x000a_        &amp;lt;CaseYear&amp;gt;2021&amp;lt;/CaseYear&amp;gt;_x000d__x000a_        &amp;lt;CaseNumber&amp;gt;11446&amp;lt;/CaseNumber&amp;gt;_x000d__x000a_        &amp;lt;NumeratorGroupID&amp;gt;1&amp;lt;/NumeratorGroupID&amp;gt;_x000d__x000a_        &amp;lt;CaseName&amp;gt;דור נ&amp;#39; לייט האוס 23 בע&amp;quot;מ ואח&amp;#39;&amp;lt;/CaseName&amp;gt;_x000d__x000a_        &amp;lt;CourtID&amp;gt;15&amp;lt;/CourtID&amp;gt;_x000d__x000a_        &amp;lt;CaseTypeID&amp;gt;10036&amp;lt;/CaseTypeID&amp;gt;_x000d__x000a_        &amp;lt;CaseInterestID&amp;gt;10462&amp;lt;/CaseInterestID&amp;gt;_x000d__x000a_        &amp;lt;CaseJudgeName&amp;gt;יעקב שקד&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1446-08-21&amp;lt;/CaseDisplayIdentifier&amp;gt;_x000d__x000a_        &amp;lt;CaseTypeDesc&amp;gt;ת&amp;quot;צ&amp;lt;/CaseTypeDesc&amp;gt;_x000d__x000a_        &amp;lt;CourtDesc&amp;gt;המחוזי תל אביב - יפו&amp;lt;/CourtDesc&amp;gt;_x000d__x000a_        &amp;lt;CaseStageDesc&amp;gt;תיק אלקטרוני&amp;lt;/CaseStageDesc&amp;gt;_x000d__x000a_        &amp;lt;CaseNextDeterminingTask&amp;gt;142&amp;lt;/CaseNextDeterminingTask&amp;gt;_x000d__x000a_        &amp;lt;CaseOpenDate&amp;gt;2021-08-03T11:53:00+03:00&amp;lt;/CaseOpenDate&amp;gt;_x000d__x000a_        &amp;lt;PleaTypeID&amp;gt;4&amp;lt;/PleaTypeID&amp;gt;_x000d__x000a_        &amp;lt;CourtLevelID&amp;gt;2&amp;lt;/CourtLevelID&amp;gt;_x000d__x000a_        &amp;lt;CourtLevelCaseTypeInterestID&amp;gt;1622&amp;lt;/CourtLevelCaseTypeInterestID&amp;gt;_x000d__x000a_        &amp;lt;CaseJudgeFirstName&amp;gt;יעקב&amp;lt;/CaseJudgeFirstName&amp;gt;_x000d__x000a_        &amp;lt;CaseJudgeLastName&amp;gt;שקד&amp;lt;/CaseJudgeLastName&amp;gt;_x000d__x000a_        &amp;lt;JudicalPersonID&amp;gt;023972524@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עלה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63235&amp;lt;/DecisionID&amp;gt;_x000d__x000a_        &amp;lt;DecisionName&amp;gt;החלטה  שניתנה ע&amp;quot;י  יעקב שקד&amp;lt;/DecisionName&amp;gt;_x000d__x000a_        &amp;lt;DecisionStatusID&amp;gt;1&amp;lt;/DecisionStatusID&amp;gt;_x000d__x000a_        &amp;lt;DecisionStatusChangeDate&amp;gt;2024-07-08T06:06:24.36+03:00&amp;lt;/DecisionStatusChangeDate&amp;gt;_x000d__x000a_        &amp;lt;DecisionSignatureDate&amp;gt;2024-07-04T16:40:06.077+03:00&amp;lt;/DecisionSignatureDate&amp;gt;_x000d__x000a_        &amp;lt;DecisionSignatureUserID&amp;gt;023972524@GOV.IL&amp;lt;/DecisionSignatureUserID&amp;gt;_x000d__x000a_        &amp;lt;DecisionCreateDate&amp;gt;2024-07-04T16:41:57.563+03:00&amp;lt;/DecisionCreateDate&amp;gt;_x000d__x000a_        &amp;lt;DecisionChangeDate&amp;gt;2024-07-08T06:06:24.6+03:00&amp;lt;/DecisionChangeDate&amp;gt;_x000d__x000a_        &amp;lt;DecisionChangeUserID&amp;gt;02397252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7870623&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97252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972524@GOV.IL&amp;lt;/DecisionCreationUserID&amp;gt;_x000d__x000a_        &amp;lt;DecisionDisplayName&amp;gt;החלטה  שניתנה ע&amp;quot;י  יעקב שקד&amp;lt;/DecisionDisplayName&amp;gt;_x000d__x000a_        &amp;lt;IsScanned&amp;gt;false&amp;lt;/IsScanned&amp;gt;_x000d__x000a_        &amp;lt;DecisionSignatureUserName&amp;gt;יעקב שק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amp;gt;_x000d__x000a_        &amp;lt;DecisionID&amp;gt;152663235&amp;lt;/DecisionID&amp;gt;_x000d__x000a_        &amp;lt;CaseID&amp;gt;78545807&amp;lt;/CaseID&amp;gt;_x000d__x000a_        &amp;lt;IsOriginal&amp;gt;true&amp;lt;/IsOriginal&amp;gt;_x000d__x000a_        &amp;lt;IsDeleted&amp;gt;false&amp;lt;/IsDeleted&amp;gt;_x000d__x000a_        &amp;lt;CaseName&amp;gt;דור נ&amp;#39; לייט האוס 23 בע&amp;quot;מ ואח&amp;#39;&amp;lt;/CaseName&amp;gt;_x000d__x000a_        &amp;lt;CaseDisplayIdentifier&amp;gt;11446-08-21 ת&amp;quot;צ&amp;lt;/CaseDisplayIdentifier&amp;gt;_x000d__x000a_      &amp;lt;/dt_DecisionCase&amp;gt;_x000d__x000a_    &amp;lt;/DecisionDS&amp;gt;_x000d__x000a_  &amp;lt;/diffgr:diffgram&amp;gt;_x000d__x000a_&amp;lt;/DecisionDS&amp;gt;"/>
    <w:docVar w:name="DecisionID" w:val="152663235"/>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5E3"/>
    <w:rsid w:val="001367BC"/>
    <w:rsid w:val="00144D2A"/>
    <w:rsid w:val="0014653E"/>
    <w:rsid w:val="00180519"/>
    <w:rsid w:val="001859EA"/>
    <w:rsid w:val="00191C82"/>
    <w:rsid w:val="001B48A4"/>
    <w:rsid w:val="001C3FD7"/>
    <w:rsid w:val="001C4003"/>
    <w:rsid w:val="001C6365"/>
    <w:rsid w:val="001D3441"/>
    <w:rsid w:val="001D4DBF"/>
    <w:rsid w:val="001E75CA"/>
    <w:rsid w:val="001F5DB6"/>
    <w:rsid w:val="002011FD"/>
    <w:rsid w:val="00215120"/>
    <w:rsid w:val="002265FF"/>
    <w:rsid w:val="002576AC"/>
    <w:rsid w:val="00271B56"/>
    <w:rsid w:val="00291593"/>
    <w:rsid w:val="002C344E"/>
    <w:rsid w:val="002E2680"/>
    <w:rsid w:val="002E75E9"/>
    <w:rsid w:val="00307A6A"/>
    <w:rsid w:val="00307C40"/>
    <w:rsid w:val="00320433"/>
    <w:rsid w:val="003230C7"/>
    <w:rsid w:val="00327E50"/>
    <w:rsid w:val="0033597A"/>
    <w:rsid w:val="00343D89"/>
    <w:rsid w:val="00362612"/>
    <w:rsid w:val="0036743F"/>
    <w:rsid w:val="003715DD"/>
    <w:rsid w:val="003763AB"/>
    <w:rsid w:val="003823E0"/>
    <w:rsid w:val="003831F4"/>
    <w:rsid w:val="003A4521"/>
    <w:rsid w:val="003D1C8C"/>
    <w:rsid w:val="0040096C"/>
    <w:rsid w:val="004011FF"/>
    <w:rsid w:val="00414F1F"/>
    <w:rsid w:val="0043125D"/>
    <w:rsid w:val="0043502B"/>
    <w:rsid w:val="004443AC"/>
    <w:rsid w:val="00451A37"/>
    <w:rsid w:val="00451E28"/>
    <w:rsid w:val="00462C62"/>
    <w:rsid w:val="00465D36"/>
    <w:rsid w:val="00470D77"/>
    <w:rsid w:val="004C17EE"/>
    <w:rsid w:val="004C4BDF"/>
    <w:rsid w:val="004D1187"/>
    <w:rsid w:val="004D3AA0"/>
    <w:rsid w:val="004E1987"/>
    <w:rsid w:val="004E2E15"/>
    <w:rsid w:val="004E6E3C"/>
    <w:rsid w:val="005200DE"/>
    <w:rsid w:val="00520898"/>
    <w:rsid w:val="00523621"/>
    <w:rsid w:val="00524986"/>
    <w:rsid w:val="005268F6"/>
    <w:rsid w:val="00534284"/>
    <w:rsid w:val="0054494A"/>
    <w:rsid w:val="00547DB7"/>
    <w:rsid w:val="005B73CB"/>
    <w:rsid w:val="005F4F09"/>
    <w:rsid w:val="0061431B"/>
    <w:rsid w:val="00617CEE"/>
    <w:rsid w:val="00622BAA"/>
    <w:rsid w:val="006306CF"/>
    <w:rsid w:val="00644E9A"/>
    <w:rsid w:val="00671BD5"/>
    <w:rsid w:val="006805C1"/>
    <w:rsid w:val="00686C21"/>
    <w:rsid w:val="0069218B"/>
    <w:rsid w:val="006931C1"/>
    <w:rsid w:val="00694556"/>
    <w:rsid w:val="006C30C5"/>
    <w:rsid w:val="006D3B31"/>
    <w:rsid w:val="006E0D96"/>
    <w:rsid w:val="006E1A53"/>
    <w:rsid w:val="006F25F5"/>
    <w:rsid w:val="006F56E6"/>
    <w:rsid w:val="007022CF"/>
    <w:rsid w:val="00703D03"/>
    <w:rsid w:val="00704EDA"/>
    <w:rsid w:val="00721122"/>
    <w:rsid w:val="00731EF0"/>
    <w:rsid w:val="00744B1C"/>
    <w:rsid w:val="00753019"/>
    <w:rsid w:val="00754801"/>
    <w:rsid w:val="00795365"/>
    <w:rsid w:val="007A351D"/>
    <w:rsid w:val="007B7765"/>
    <w:rsid w:val="007C5BDD"/>
    <w:rsid w:val="007D37ED"/>
    <w:rsid w:val="007D45E3"/>
    <w:rsid w:val="007E6115"/>
    <w:rsid w:val="007F4609"/>
    <w:rsid w:val="008176A1"/>
    <w:rsid w:val="00820005"/>
    <w:rsid w:val="00844318"/>
    <w:rsid w:val="008577A4"/>
    <w:rsid w:val="008606A0"/>
    <w:rsid w:val="00863F5D"/>
    <w:rsid w:val="00870890"/>
    <w:rsid w:val="00873602"/>
    <w:rsid w:val="00875D12"/>
    <w:rsid w:val="008800CD"/>
    <w:rsid w:val="0088479D"/>
    <w:rsid w:val="00896889"/>
    <w:rsid w:val="008C5714"/>
    <w:rsid w:val="008D10B2"/>
    <w:rsid w:val="00903896"/>
    <w:rsid w:val="00906F3D"/>
    <w:rsid w:val="0094424E"/>
    <w:rsid w:val="00955642"/>
    <w:rsid w:val="009622DF"/>
    <w:rsid w:val="00967DFF"/>
    <w:rsid w:val="00974517"/>
    <w:rsid w:val="00994341"/>
    <w:rsid w:val="009B4939"/>
    <w:rsid w:val="009D1A48"/>
    <w:rsid w:val="009E1CE7"/>
    <w:rsid w:val="009E4EA5"/>
    <w:rsid w:val="009F164B"/>
    <w:rsid w:val="009F323C"/>
    <w:rsid w:val="00A2681A"/>
    <w:rsid w:val="00A3392B"/>
    <w:rsid w:val="00A3751E"/>
    <w:rsid w:val="00A94B64"/>
    <w:rsid w:val="00AA0009"/>
    <w:rsid w:val="00AA3229"/>
    <w:rsid w:val="00AA7596"/>
    <w:rsid w:val="00AB5E52"/>
    <w:rsid w:val="00AC3B02"/>
    <w:rsid w:val="00AC3B7B"/>
    <w:rsid w:val="00AC5209"/>
    <w:rsid w:val="00AC60DB"/>
    <w:rsid w:val="00AD00A6"/>
    <w:rsid w:val="00AE729E"/>
    <w:rsid w:val="00AE7752"/>
    <w:rsid w:val="00AF7FDA"/>
    <w:rsid w:val="00B5356E"/>
    <w:rsid w:val="00B54DE4"/>
    <w:rsid w:val="00B745AA"/>
    <w:rsid w:val="00B809AD"/>
    <w:rsid w:val="00B80CBD"/>
    <w:rsid w:val="00B86096"/>
    <w:rsid w:val="00B95A71"/>
    <w:rsid w:val="00B964D9"/>
    <w:rsid w:val="00BA0A7C"/>
    <w:rsid w:val="00BA517C"/>
    <w:rsid w:val="00BB3D05"/>
    <w:rsid w:val="00BB73BE"/>
    <w:rsid w:val="00BC2D89"/>
    <w:rsid w:val="00BD6531"/>
    <w:rsid w:val="00BE05B2"/>
    <w:rsid w:val="00BF1908"/>
    <w:rsid w:val="00BF725C"/>
    <w:rsid w:val="00BF7F3B"/>
    <w:rsid w:val="00C22D93"/>
    <w:rsid w:val="00C31120"/>
    <w:rsid w:val="00C34482"/>
    <w:rsid w:val="00C43648"/>
    <w:rsid w:val="00C50A9F"/>
    <w:rsid w:val="00C53EB8"/>
    <w:rsid w:val="00C642FA"/>
    <w:rsid w:val="00C65565"/>
    <w:rsid w:val="00CB1C2C"/>
    <w:rsid w:val="00CC7622"/>
    <w:rsid w:val="00CD608F"/>
    <w:rsid w:val="00D27982"/>
    <w:rsid w:val="00D33B86"/>
    <w:rsid w:val="00D53924"/>
    <w:rsid w:val="00D55D0C"/>
    <w:rsid w:val="00D627CF"/>
    <w:rsid w:val="00D74378"/>
    <w:rsid w:val="00D96D8C"/>
    <w:rsid w:val="00DA6649"/>
    <w:rsid w:val="00DC1259"/>
    <w:rsid w:val="00DC1BD2"/>
    <w:rsid w:val="00DC2571"/>
    <w:rsid w:val="00DC487C"/>
    <w:rsid w:val="00DE6BF6"/>
    <w:rsid w:val="00E056C0"/>
    <w:rsid w:val="00E1068A"/>
    <w:rsid w:val="00E25884"/>
    <w:rsid w:val="00E25B55"/>
    <w:rsid w:val="00E31C2B"/>
    <w:rsid w:val="00E37181"/>
    <w:rsid w:val="00E5426A"/>
    <w:rsid w:val="00E54642"/>
    <w:rsid w:val="00E80CBE"/>
    <w:rsid w:val="00E962E3"/>
    <w:rsid w:val="00EB5012"/>
    <w:rsid w:val="00EB6C79"/>
    <w:rsid w:val="00EC37E9"/>
    <w:rsid w:val="00ED5D93"/>
    <w:rsid w:val="00F06995"/>
    <w:rsid w:val="00F13623"/>
    <w:rsid w:val="00F350BB"/>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EB5012"/>
    <w:rPr>
      <w:color w:val="0000FF"/>
      <w:u w:val="single"/>
    </w:rPr>
  </w:style>
  <w:style w:type="paragraph" w:styleId="ad">
    <w:name w:val="List Paragraph"/>
    <w:basedOn w:val="a"/>
    <w:uiPriority w:val="34"/>
    <w:qFormat/>
    <w:rsid w:val="00EB5012"/>
    <w:pPr>
      <w:spacing w:after="200" w:line="276" w:lineRule="auto"/>
      <w:ind w:left="720"/>
      <w:contextualSpacing/>
    </w:pPr>
    <w:rPr>
      <w:rFonts w:asciiTheme="minorHAnsi" w:eastAsiaTheme="minorHAnsi" w:hAnsiTheme="minorHAnsi" w:cstheme="minorBidi"/>
      <w:noProof w:val="0"/>
      <w:sz w:val="22"/>
      <w:szCs w:val="22"/>
    </w:rPr>
  </w:style>
  <w:style w:type="paragraph" w:customStyle="1" w:styleId="ruller40">
    <w:name w:val="ruller40"/>
    <w:basedOn w:val="a"/>
    <w:uiPriority w:val="99"/>
    <w:semiHidden/>
    <w:rsid w:val="00EB5012"/>
    <w:pPr>
      <w:bidi w:val="0"/>
      <w:spacing w:before="100" w:beforeAutospacing="1" w:after="100" w:afterAutospacing="1"/>
    </w:pPr>
    <w:rPr>
      <w:rFonts w:cs="Times New Roman"/>
      <w:noProof w:val="0"/>
    </w:rPr>
  </w:style>
  <w:style w:type="paragraph" w:customStyle="1" w:styleId="ruller4">
    <w:name w:val="ruller4"/>
    <w:basedOn w:val="a"/>
    <w:uiPriority w:val="99"/>
    <w:semiHidden/>
    <w:rsid w:val="00EB5012"/>
    <w:pPr>
      <w:bidi w:val="0"/>
      <w:spacing w:before="100" w:beforeAutospacing="1" w:after="100" w:afterAutospacing="1"/>
    </w:pPr>
    <w:rPr>
      <w:rFonts w:cs="Times New Roman"/>
      <w:noProof w:val="0"/>
    </w:rPr>
  </w:style>
  <w:style w:type="paragraph" w:customStyle="1" w:styleId="listparagraph">
    <w:name w:val="listparagraph"/>
    <w:basedOn w:val="a"/>
    <w:uiPriority w:val="99"/>
    <w:semiHidden/>
    <w:rsid w:val="00EB5012"/>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6341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E1A82" w:rsidP="003E1A82">
          <w:pPr>
            <w:pStyle w:val="E460D38E05664FF79D4EFF282EF8EC9918"/>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Arial TUR">
    <w:altName w:val="Arial"/>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2E734C"/>
    <w:rsid w:val="00334638"/>
    <w:rsid w:val="00345C9D"/>
    <w:rsid w:val="003E1A82"/>
    <w:rsid w:val="004150EA"/>
    <w:rsid w:val="0048651F"/>
    <w:rsid w:val="00556D67"/>
    <w:rsid w:val="00793995"/>
    <w:rsid w:val="007C6F98"/>
    <w:rsid w:val="007E254A"/>
    <w:rsid w:val="008B4366"/>
    <w:rsid w:val="009133C7"/>
    <w:rsid w:val="009178E4"/>
    <w:rsid w:val="00961B27"/>
    <w:rsid w:val="00AA7CE3"/>
    <w:rsid w:val="00B91FA3"/>
    <w:rsid w:val="00C96C06"/>
    <w:rsid w:val="00E31BF6"/>
    <w:rsid w:val="00E81DB1"/>
    <w:rsid w:val="00ED7EE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E1A8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עוז קינן</FullName>
        <FirstName>עוז</FirstName>
        <LastName>קינן</LastName>
        <PartyPropertyName/>
        <AuthenticationTypeAndNumber>מ.ר. 78491</AuthenticationTypeAndNumber>
        <RepresentatedOrRepresentativesNames> , גל אלרם, יהונתן בן עמי, ירום גבאי, שלומי דיין, גיא הינן, עומר יהב, דניאל נפתלי, עומר עוז, דן עמית, ריף רפאל פרץ, גל קורן</RepresentatedOrRepresentativesNames>
        <RepresentatedOrRepresentativesCount>14</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240872247</CasePartyID>
        <PartyTypeID>2</PartyTypeID>
        <ActivityStatusID>1</ActivityStatusID>
        <PartyAliasID>21</PartyAliasID>
        <PartyAliasName>בא כוח נתבעים</PartyAliasName>
        <LegalEntityID>76605948</LegalEntityID>
        <CaseLegalEntityID>119723412</CaseLegalEntityID>
        <AuthenticationTypeID>4</AuthenticationTypeID>
        <AuthenticationTypeName>מ.ר.</AuthenticationTypeName>
        <LegalEntityNumber>78491</LegalEntityNumber>
        <IsMainPartyType>true</IsMainPartyType>
        <CaseDisplayIdentifier>11446-08-21</CaseDisplayIdentifier>
        <CaseTypeID>10036</CaseTypeID>
        <CaseTypeName>תובענה ייצוגית (ת"צ)</CaseTypeName>
        <CaseName>דור נ' לייט האוס 23 בע"מ ואח'</CaseName>
        <FullAddress>דרך מנחם בגין 144 א' תל אביב -יפו </FullAddress>
        <EmailAddress>office@fylaw.co.il</EmailAddress>
        <MotionID>0</MotionID>
        <CasePleaID>0</CasePleaID>
        <LinkedCaseID>0</LinkedCaseID>
        <PartyID>2</PartyID>
        <CasePartyCategoryID>2</CasePartyCategoryID>
        <LegalEntityAddressID>89334185</LegalEntityAddressID>
        <LegalEntityEmailAddressID>67829188</LegalEntityEmailAddressID>
        <PleaTypeID>4</PleaTypeID>
        <LawyerOfficeName>משרד עו"ד: פרידמן, יונגר ושות'</LawyerOfficeName>
        <LawyerOfficeID>426279</LawyerOfficeID>
        <GroupPartyAlias/>
        <IsConverted>false</IsConverted>
        <LegalEntityNameID>84395046</LegalEntityNameID>
        <RepresentatedNamesOfAssistant/>
        <LegalEntityTypeID>4</LegalEntityTypeID>
        <IsVerdictExists>false</IsVerdictExists>
        <IsAsirAzir>false</IsAsirAzir>
        <MainAndSecSpec/>
        <IsPublicationProhibited>false</IsPublicationProhibited>
        <PublicationProhibitedFullName>עוז קינן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מתן דור</FullName>
        <FirstName>מתן</FirstName>
        <LastName>דור</LastName>
        <PartyPropertyName/>
        <AuthenticationTypeAndNumber>ת"ז 305329609</AuthenticationTypeAndNumber>
        <RepresentatedOrRepresentativesNames>אייל אבידן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229838973</CasePartyID>
        <PartyTypeID>1</PartyTypeID>
        <ActivityStatusID>1</ActivityStatusID>
        <PartyAliasID>1</PartyAliasID>
        <PartyAliasName>תובע</PartyAliasName>
        <OrdinalNumber>1</OrdinalNumber>
        <LegalEntityID>75746591</LegalEntityID>
        <CaseLegalEntityID>116316871</CaseLegalEntityID>
        <AuthenticationTypeID>1</AuthenticationTypeID>
        <AuthenticationTypeName>ת"ז</AuthenticationTypeName>
        <LegalEntityNumber>305329609</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דני</FatherName>
        <LinkedCaseID>0</LinkedCaseID>
        <PartyID>1</PartyID>
        <CasePartyCategoryID>2</CasePartyCategoryID>
        <PleaTypeID>4</PleaTypeID>
        <GroupPartyAlias>תובעים</GroupPartyAlias>
        <IsConverted>false</IsConverted>
        <LegalEntityRegisteredNameID>7512519</LegalEntityRegisteredNameID>
        <LegalEntityNameID>91775805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מתן דור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אייל אבידן</FullName>
        <FirstName>אייל</FirstName>
        <LastName>אבידן</LastName>
        <PartyPropertyName/>
        <AuthenticationTypeAndNumber>מ.ר. 48170</AuthenticationTypeAndNumber>
        <RepresentatedOrRepresentativesNames>מתן דור</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229838974</CasePartyID>
        <PartyTypeID>2</PartyTypeID>
        <ActivityStatusID>1</ActivityStatusID>
        <PartyAliasID>20</PartyAliasID>
        <PartyAliasName>בא כוח תובעים</PartyAliasName>
        <OrdinalNumber>1</OrdinalNumber>
        <LegalEntityID>7594546</LegalEntityID>
        <CaseLegalEntityID>116316872</CaseLegalEntityID>
        <AuthenticationTypeID>4</AuthenticationTypeID>
        <AuthenticationTypeName>מ.ר.</AuthenticationTypeName>
        <LegalEntityNumber>48170</LegalEntityNumber>
        <IsMainPartyType>true</IsMainPartyType>
        <CaseDisplayIdentifier>11446-08-21</CaseDisplayIdentifier>
        <CaseTypeID>10036</CaseTypeID>
        <CaseTypeName>תובענה ייצוגית (ת"צ)</CaseTypeName>
        <CaseName>דור נ' לייט האוס 23 בע"מ ואח'</CaseName>
        <FullAddress>בארות 31 גבעת זאב </FullAddress>
        <EmailAddress>eyalavidan@gmail.com</EmailAddress>
        <MotionID>0</MotionID>
        <CasePleaID>0</CasePleaID>
        <LinkedCaseID>0</LinkedCaseID>
        <PartyID>1</PartyID>
        <CasePartyCategoryID>2</CasePartyCategoryID>
        <LegalEntityAddressID>80291410</LegalEntityAddressID>
        <LegalEntityEmailAddressID>67836243</LegalEntityEmailAddressID>
        <PleaTypeID>4</PleaTypeID>
        <LawyerOfficeName>משרד עו"ד אייל אבידן</LawyerOfficeName>
        <LawyerOfficeID>7594547</LawyerOfficeID>
        <GroupPartyAlias/>
        <IsConverted>false</IsConverted>
        <LegalEntityNameID>73054072</LegalEntityNameID>
        <RepresentatedNamesOfAssistant/>
        <LegalEntityTypeID>4</LegalEntityTypeID>
        <IsVerdictExists>false</IsVerdictExists>
        <IsAsirAzir>false</IsAsirAzir>
        <MainAndSecSpec/>
        <IsPublicationProhibited>false</IsPublicationProhibited>
        <PublicationProhibitedFullName>אייל אבידן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יונגר</FullName>
        <FirstName>יצחק</FirstName>
        <LastName>יונגר</LastName>
        <PartyPropertyName/>
        <AuthenticationTypeAndNumber>מ.ר. 19560</AuthenticationTypeAndNumber>
        <RepresentatedOrRepresentativesNames xml:space="preserve"> </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233937361</CasePartyID>
        <PartyTypeID>2</PartyTypeID>
        <ActivityStatusID>1</ActivityStatusID>
        <PartyAliasID>21</PartyAliasID>
        <PartyAliasName>בא כוח נתבעים</PartyAliasName>
        <OrdinalNumber>1</OrdinalNumber>
        <LegalEntityID>385635</LegalEntityID>
        <CaseLegalEntityID>117637685</CaseLegalEntityID>
        <AuthenticationTypeID>4</AuthenticationTypeID>
        <AuthenticationTypeName>מ.ר.</AuthenticationTypeName>
        <LegalEntityNumber>19560</LegalEntityNumber>
        <IsMainPartyType>true</IsMainPartyType>
        <CaseDisplayIdentifier>11446-08-21</CaseDisplayIdentifier>
        <CaseTypeID>10036</CaseTypeID>
        <CaseTypeName>תובענה ייצוגית (ת"צ)</CaseTypeName>
        <CaseName>דור נ' לייט האוס 23 בע"מ ואח'</CaseName>
        <FullAddress>דרך מנחם בגין 144 א' תל אביב -יפו </FullAddress>
        <EmailAddress>office@fylaw.co.il</EmailAddress>
        <MotionID>0</MotionID>
        <CasePleaID>0</CasePleaID>
        <LinkedCaseID>0</LinkedCaseID>
        <PartyID>2</PartyID>
        <CasePartyCategoryID>2</CasePartyCategoryID>
        <LegalEntityAddressID>89334185</LegalEntityAddressID>
        <LegalEntityEmailAddressID>67829188</LegalEntityEmailAddressID>
        <PleaTypeID>4</PleaTypeID>
        <LawyerOfficeName>משרד עו"ד: פרידמן, יונגר ושות'</LawyerOfficeName>
        <LawyerOfficeID>426279</LawyerOfficeID>
        <GroupPartyAlias/>
        <IsConverted>false</IsConverted>
        <LegalEntityNameID>6619</LegalEntityNameID>
        <RepresentatedNamesOfAssistant/>
        <LegalEntityTypeID>4</LegalEntityTypeID>
        <IsVerdictExists>false</IsVerdictExists>
        <IsAsirAzir>false</IsAsirAzir>
        <MainAndSecSpec/>
        <IsPublicationProhibited>false</IsPublicationProhibited>
        <PublicationProhibitedFullName>יצחק יונגר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לייט האוס 23 בע"מ</FullName>
        <LastName>לייט האוס 23 בע"מ</LastName>
        <PartyPropertyName/>
        <AuthenticationTypeAndNumber>חברות 515441251</AuthenticationTypeAndNumber>
        <RepresentatedOrRepresentativesNames>יצחק יונגר, עוז קינן</RepresentatedOrRepresentativesNames>
        <RepresentatedOrRepresentativesCount>2</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229839585</CasePartyID>
        <PartyTypeID>1</PartyTypeID>
        <ActivityStatusID>1</ActivityStatusID>
        <PartyAliasID>2</PartyAliasID>
        <PartyAliasName>נתבע</PartyAliasName>
        <OrdinalNumber>1</OrdinalNumber>
        <LegalEntityID>75362431</LegalEntityID>
        <CaseLegalEntityID>116317048</CaseLegalEntityID>
        <AuthenticationTypeID>3</AuthenticationTypeID>
        <AuthenticationTypeName>חברות</AuthenticationTypeName>
        <LegalEntityNumber>515441251</LegalEntityNumber>
        <IsMainPartyType>true</IsMainPartyType>
        <CaseDisplayIdentifier>11446-08-21</CaseDisplayIdentifier>
        <CaseTypeID>10036</CaseTypeID>
        <CaseTypeName>תובענה ייצוגית (ת"צ)</CaseTypeName>
        <CaseName>דור נ' לייט האוס 23 בע"מ ואח'</CaseName>
        <FullAddress>ירמיהו 5 תל אביב -יפו </FullAddress>
        <MotionID>0</MotionID>
        <CasePleaID>0</CasePleaID>
        <LinkedCaseID>0</LinkedCaseID>
        <PartyID>2</PartyID>
        <CasePartyCategoryID>2</CasePartyCategoryID>
        <LegalEntityAddressID>85482212</LegalEntityAddressID>
        <PleaTypeID>4</PleaTypeID>
        <GroupPartyAlias>נתבעים</GroupPartyAlias>
        <IsConverted>false</IsConverted>
        <LegalEntityRegisteredNameID>5424865</LegalEntityRegisteredNameID>
        <RepresentatedNamesOfAssistant/>
        <LegalEntityTypeID>3</LegalEntityTypeID>
        <IsVerdictExists>false</IsVerdictExists>
        <IsAsirAzir>false</IsAsirAzir>
        <MainAndSecSpec/>
        <IsPublicationProhibited>false</IsPublicationProhibited>
        <PublicationProhibitedFullName>לייט האוס 23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א.ד. נוקס בע"מ</FullName>
        <LastName>א.ד. נוקס בע"מ</LastName>
        <PartyPropertyName/>
        <AuthenticationTypeAndNumber>חברות 514952795</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229839599</CasePartyID>
        <PartyTypeID>1</PartyTypeID>
        <ActivityStatusID>1</ActivityStatusID>
        <PartyAliasID>2</PartyAliasID>
        <PartyAliasName>נתבע</PartyAliasName>
        <OrdinalNumber>2</OrdinalNumber>
        <LegalEntityID>72716274</LegalEntityID>
        <CaseLegalEntityID>116317058</CaseLegalEntityID>
        <AuthenticationTypeID>3</AuthenticationTypeID>
        <AuthenticationTypeName>חברות</AuthenticationTypeName>
        <LegalEntityNumber>514952795</LegalEntityNumber>
        <IsMainPartyType>true</IsMainPartyType>
        <CaseDisplayIdentifier>11446-08-21</CaseDisplayIdentifier>
        <CaseTypeID>10036</CaseTypeID>
        <CaseTypeName>תובענה ייצוגית (ת"צ)</CaseTypeName>
        <CaseName>דור נ' לייט האוס 23 בע"מ ואח'</CaseName>
        <FullAddress>ירמיהו 5 תל אביב -יפו קומה א</FullAddress>
        <MotionID>0</MotionID>
        <CasePleaID>0</CasePleaID>
        <LinkedCaseID>0</LinkedCaseID>
        <PartyID>2</PartyID>
        <CasePartyCategoryID>2</CasePartyCategoryID>
        <LegalEntityAddressID>88766899</LegalEntityAddressID>
        <PleaTypeID>4</PleaTypeID>
        <GroupPartyAlias>נתבעים</GroupPartyAlias>
        <IsConverted>false</IsConverted>
        <LegalEntityRegisteredNameID>3949491</LegalEntityRegisteredNameID>
        <RepresentatedNamesOfAssistant/>
        <LegalEntityTypeID>3</LegalEntityTypeID>
        <IsVerdictExists>false</IsVerdictExists>
        <IsAsirAzir>false</IsAsirAzir>
        <MainAndSecSpec/>
        <IsPublicationProhibited>false</IsPublicationProhibited>
        <PublicationProhibitedFullName>א.ד. נוקס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יהונתן בן עמי</FullName>
        <FirstName>יהונתן</FirstName>
        <LastName>בן עמי</LastName>
        <PartyPropertyName/>
        <AuthenticationTypeAndNumber>ת"ז 200038248</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229839796</CasePartyID>
        <PartyTypeID>1</PartyTypeID>
        <ActivityStatusID>1</ActivityStatusID>
        <PartyAliasID>2</PartyAliasID>
        <PartyAliasName>נתבע</PartyAliasName>
        <OrdinalNumber>3</OrdinalNumber>
        <LegalEntityID>79548423</LegalEntityID>
        <CaseLegalEntityID>116317119</CaseLegalEntityID>
        <AuthenticationTypeID>1</AuthenticationTypeID>
        <AuthenticationTypeName>ת"ז</AuthenticationTypeName>
        <LegalEntityNumber>200038248</LegalEntityNumber>
        <IsMainPartyType>true</IsMainPartyType>
        <CaseDisplayIdentifier>11446-08-21</CaseDisplayIdentifier>
        <CaseTypeID>10036</CaseTypeID>
        <CaseTypeName>תובענה ייצוגית (ת"צ)</CaseTypeName>
        <CaseName>דור נ' לייט האוס 23 בע"מ ואח'</CaseName>
        <FullAddress>שפרינצק 9 תל אביב -יפו </FullAddress>
        <MotionID>0</MotionID>
        <CasePleaID>0</CasePleaID>
        <FatherName>יהודה אודי</FatherName>
        <LinkedCaseID>0</LinkedCaseID>
        <PartyID>2</PartyID>
        <CasePartyCategoryID>2</CasePartyCategoryID>
        <LegalEntityAddressID>85482237</LegalEntityAddressID>
        <GrandfatherName/>
        <DrivingLicenseNumber>9177355</DrivingLicenseNumber>
        <PleaTypeID>4</PleaTypeID>
        <GroupPartyAlias>נתבעים</GroupPartyAlias>
        <IsConverted>false</IsConverted>
        <LegalEntityRegisteredNameID>9413011</LegalEntityRegisteredNameID>
        <LegalEntityNameID>91775905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בן עמי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גיא הינן</FullName>
        <FirstName>גיא</FirstName>
        <LastName>הינן</LastName>
        <PartyPropertyName/>
        <AuthenticationTypeAndNumber>ת"ז 200334118</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229839860</CasePartyID>
        <PartyTypeID>1</PartyTypeID>
        <ActivityStatusID>1</ActivityStatusID>
        <PartyAliasID>2</PartyAliasID>
        <PartyAliasName>נתבע</PartyAliasName>
        <OrdinalNumber>4</OrdinalNumber>
        <LegalEntityID>58082306</LegalEntityID>
        <CaseLegalEntityID>116317145</CaseLegalEntityID>
        <AuthenticationTypeID>1</AuthenticationTypeID>
        <AuthenticationTypeName>ת"ז</AuthenticationTypeName>
        <LegalEntityNumber>200334118</LegalEntityNumber>
        <IsMainPartyType>true</IsMainPartyType>
        <CaseDisplayIdentifier>11446-08-21</CaseDisplayIdentifier>
        <CaseTypeID>10036</CaseTypeID>
        <CaseTypeName>תובענה ייצוגית (ת"צ)</CaseTypeName>
        <CaseName>דור נ' לייט האוס 23 בע"מ ואח'</CaseName>
        <FullAddress>ויתקין 11 תל אביב -יפו </FullAddress>
        <MotionID>0</MotionID>
        <CasePleaID>0</CasePleaID>
        <FatherName>אליעזר לזלי</FatherName>
        <LinkedCaseID>0</LinkedCaseID>
        <PartyID>2</PartyID>
        <CasePartyCategoryID>2</CasePartyCategoryID>
        <LegalEntityAddressID>85482234</LegalEntityAddressID>
        <PleaTypeID>4</PleaTypeID>
        <GroupPartyAlias>נתבעים</GroupPartyAlias>
        <IsConverted>false</IsConverted>
        <LegalEntityRegisteredNameID>5283909</LegalEntityRegisteredNameID>
        <LegalEntityNameID>91775913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הינן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עומר יהב</FullName>
        <FirstName>עומר</FirstName>
        <LastName>יהב</LastName>
        <PartyPropertyName/>
        <AuthenticationTypeAndNumber>ת"ז 203263702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229840023</CasePartyID>
        <PartyTypeID>1</PartyTypeID>
        <ActivityStatusID>1</ActivityStatusID>
        <PartyAliasID>2</PartyAliasID>
        <PartyAliasName>נתבע</PartyAliasName>
        <OrdinalNumber>5</OrdinalNumber>
        <LegalEntityID>74708470</LegalEntityID>
        <CaseLegalEntityID>116317188</CaseLegalEntityID>
        <AuthenticationTypeID>1</AuthenticationTypeID>
        <AuthenticationTypeName>ת"ז</AuthenticationTypeName>
        <LegalEntityNumber>203263702</LegalEntityNumber>
        <IsMainPartyType>true</IsMainPartyType>
        <CaseDisplayIdentifier>11446-08-21</CaseDisplayIdentifier>
        <CaseTypeID>10036</CaseTypeID>
        <CaseTypeName>תובענה ייצוגית (ת"צ)</CaseTypeName>
        <CaseName>דור נ' לייט האוס 23 בע"מ ואח'</CaseName>
        <FullAddress>הר נבו 7 רמת השרון </FullAddress>
        <MotionID>0</MotionID>
        <CasePleaID>0</CasePleaID>
        <FatherName>יוסף</FatherName>
        <LinkedCaseID>0</LinkedCaseID>
        <PartyID>2</PartyID>
        <CasePartyCategoryID>2</CasePartyCategoryID>
        <LegalEntityAddressID>85482252</LegalEntityAddressID>
        <PleaTypeID>4</PleaTypeID>
        <GroupPartyAlias>נתבעים</GroupPartyAlias>
        <IsConverted>false</IsConverted>
        <LegalEntityRegisteredNameID>6224351</LegalEntityRegisteredNameID>
        <LegalEntityNameID>91775925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יהב</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ירום גבאי</FullName>
        <FirstName>ירום</FirstName>
        <LastName>גבאי</LastName>
        <PartyPropertyName/>
        <AuthenticationTypeAndNumber>ת"ז 205656002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229840138</CasePartyID>
        <PartyTypeID>1</PartyTypeID>
        <ActivityStatusID>1</ActivityStatusID>
        <PartyAliasID>2</PartyAliasID>
        <PartyAliasName>נתבע</PartyAliasName>
        <OrdinalNumber>6</OrdinalNumber>
        <LegalEntityID>79928206</LegalEntityID>
        <CaseLegalEntityID>116317225</CaseLegalEntityID>
        <AuthenticationTypeID>1</AuthenticationTypeID>
        <AuthenticationTypeName>ת"ז</AuthenticationTypeName>
        <LegalEntityNumber>205656002</LegalEntityNumber>
        <IsMainPartyType>true</IsMainPartyType>
        <CaseDisplayIdentifier>11446-08-21</CaseDisplayIdentifier>
        <CaseTypeID>10036</CaseTypeID>
        <CaseTypeName>תובענה ייצוגית (ת"צ)</CaseTypeName>
        <CaseName>דור נ' לייט האוס 23 בע"מ ואח'</CaseName>
        <FullAddress>ברוך צ'מרינסקי 1 תל אביב -יפו </FullAddress>
        <MotionID>0</MotionID>
        <CasePleaID>0</CasePleaID>
        <FatherName>מיכאל</FatherName>
        <LinkedCaseID>0</LinkedCaseID>
        <PartyID>2</PartyID>
        <CasePartyCategoryID>2</CasePartyCategoryID>
        <LegalEntityAddressID>85482261</LegalEntityAddressID>
        <PleaTypeID>4</PleaTypeID>
        <GroupPartyAlias>נתבעים</GroupPartyAlias>
        <IsConverted>false</IsConverted>
        <LegalEntityRegisteredNameID>9605563</LegalEntityRegisteredNameID>
        <LegalEntityNameID>91775938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ירום גבאי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גל קורן</FullName>
        <FirstName>גל</FirstName>
        <LastName>קורן</LastName>
        <PartyPropertyName/>
        <AuthenticationTypeAndNumber>ת"ז 021660543</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229840208</CasePartyID>
        <PartyTypeID>1</PartyTypeID>
        <ActivityStatusID>1</ActivityStatusID>
        <PartyAliasID>2</PartyAliasID>
        <PartyAliasName>נתבע</PartyAliasName>
        <OrdinalNumber>7</OrdinalNumber>
        <LegalEntityID>79928207</LegalEntityID>
        <CaseLegalEntityID>116317233</CaseLegalEntityID>
        <AuthenticationTypeID>1</AuthenticationTypeID>
        <AuthenticationTypeName>ת"ז</AuthenticationTypeName>
        <LegalEntityNumber>021660543</LegalEntityNumber>
        <IsMainPartyType>true</IsMainPartyType>
        <CaseDisplayIdentifier>11446-08-21</CaseDisplayIdentifier>
        <CaseTypeID>10036</CaseTypeID>
        <CaseTypeName>תובענה ייצוגית (ת"צ)</CaseTypeName>
        <CaseName>דור נ' לייט האוס 23 בע"מ ואח'</CaseName>
        <FullAddress>בזל 3 תל אביב -יפו </FullAddress>
        <MotionID>0</MotionID>
        <CasePleaID>0</CasePleaID>
        <FatherName>חיים</FatherName>
        <LinkedCaseID>0</LinkedCaseID>
        <PartyID>2</PartyID>
        <CasePartyCategoryID>2</CasePartyCategoryID>
        <LegalEntityAddressID>85482257</LegalEntityAddressID>
        <PleaTypeID>4</PleaTypeID>
        <GroupPartyAlias>נתבעים</GroupPartyAlias>
        <IsConverted>false</IsConverted>
        <LegalEntityRegisteredNameID>9605564</LegalEntityRegisteredNameID>
        <LegalEntityNameID>91775939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קורן</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ריף רפאל פרץ</FullName>
        <FirstName>ריף רפאל</FirstName>
        <LastName>פרץ</LastName>
        <PartyPropertyName/>
        <AuthenticationTypeAndNumber>ת"ז 304852072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229840300</CasePartyID>
        <PartyTypeID>1</PartyTypeID>
        <ActivityStatusID>1</ActivityStatusID>
        <PartyAliasID>2</PartyAliasID>
        <PartyAliasName>נתבע</PartyAliasName>
        <OrdinalNumber>8</OrdinalNumber>
        <LegalEntityID>70819456</LegalEntityID>
        <CaseLegalEntityID>116317249</CaseLegalEntityID>
        <AuthenticationTypeID>1</AuthenticationTypeID>
        <AuthenticationTypeName>ת"ז</AuthenticationTypeName>
        <LegalEntityNumber>304852072</LegalEntityNumber>
        <IsMainPartyType>true</IsMainPartyType>
        <CaseDisplayIdentifier>11446-08-21</CaseDisplayIdentifier>
        <CaseTypeID>10036</CaseTypeID>
        <CaseTypeName>תובענה ייצוגית (ת"צ)</CaseTypeName>
        <CaseName>דור נ' לייט האוס 23 בע"מ ואח'</CaseName>
        <FullAddress>אמיר גלבוע 1 תל אביב -יפו </FullAddress>
        <MotionID>0</MotionID>
        <CasePleaID>0</CasePleaID>
        <FatherName>יעקב</FatherName>
        <LinkedCaseID>0</LinkedCaseID>
        <PartyID>2</PartyID>
        <CasePartyCategoryID>2</CasePartyCategoryID>
        <LegalEntityAddressID>85482260</LegalEntityAddressID>
        <GrandfatherName/>
        <DrivingLicenseNumber>9080470</DrivingLicenseNumber>
        <PleaTypeID>4</PleaTypeID>
        <GroupPartyAlias>נתבעים</GroupPartyAlias>
        <IsConverted>false</IsConverted>
        <LegalEntityRegisteredNameID>9605566</LegalEntityRegisteredNameID>
        <LegalEntityNameID>91775944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ריף רפאל פרץ</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שלומי דיין</FullName>
        <FirstName>שלומי</FirstName>
        <LastName>דיין</LastName>
        <PartyPropertyName/>
        <AuthenticationTypeAndNumber>ת"ז 040174872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229840434</CasePartyID>
        <PartyTypeID>1</PartyTypeID>
        <ActivityStatusID>1</ActivityStatusID>
        <PartyAliasID>2</PartyAliasID>
        <PartyAliasName>נתבע</PartyAliasName>
        <OrdinalNumber>9</OrdinalNumber>
        <LegalEntityID>16624419</LegalEntityID>
        <CaseLegalEntityID>116317269</CaseLegalEntityID>
        <AuthenticationTypeID>1</AuthenticationTypeID>
        <AuthenticationTypeName>ת"ז</AuthenticationTypeName>
        <LegalEntityNumber>040174872</LegalEntityNumber>
        <IsMainPartyType>true</IsMainPartyType>
        <CaseDisplayIdentifier>11446-08-21</CaseDisplayIdentifier>
        <CaseTypeID>10036</CaseTypeID>
        <CaseTypeName>תובענה ייצוגית (ת"צ)</CaseTypeName>
        <CaseName>דור נ' לייט האוס 23 בע"מ ואח'</CaseName>
        <FullAddress>גלוסקין 10 תל אביב -יפו </FullAddress>
        <MotionID>0</MotionID>
        <CasePleaID>0</CasePleaID>
        <FatherName>יעקב</FatherName>
        <LinkedCaseID>0</LinkedCaseID>
        <PartyID>2</PartyID>
        <CasePartyCategoryID>2</CasePartyCategoryID>
        <LegalEntityAddressID>85482264</LegalEntityAddressID>
        <GrandfatherName/>
        <DrivingLicenseNumber>7032242</DrivingLicenseNumber>
        <PleaTypeID>4</PleaTypeID>
        <GroupPartyAlias>נתבעים</GroupPartyAlias>
        <IsConverted>false</IsConverted>
        <LegalEntityRegisteredNameID>5061822</LegalEntityRegisteredNameID>
        <LegalEntityNameID>91775954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דיין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גל אלרם</FullName>
        <FirstName>גל</FirstName>
        <LastName>אלרם</LastName>
        <PartyPropertyName/>
        <AuthenticationTypeAndNumber>ת"ז 046647517</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229840508</CasePartyID>
        <PartyTypeID>1</PartyTypeID>
        <ActivityStatusID>1</ActivityStatusID>
        <PartyAliasID>2</PartyAliasID>
        <PartyAliasName>נתבע</PartyAliasName>
        <OrdinalNumber>10</OrdinalNumber>
        <LegalEntityID>22032449</LegalEntityID>
        <CaseLegalEntityID>116317297</CaseLegalEntityID>
        <AuthenticationTypeID>1</AuthenticationTypeID>
        <AuthenticationTypeName>ת"ז</AuthenticationTypeName>
        <LegalEntityNumber>046647517</LegalEntityNumber>
        <IsMainPartyType>true</IsMainPartyType>
        <CaseDisplayIdentifier>11446-08-21</CaseDisplayIdentifier>
        <CaseTypeID>10036</CaseTypeID>
        <CaseTypeName>תובענה ייצוגית (ת"צ)</CaseTypeName>
        <CaseName>דור נ' לייט האוס 23 בע"מ ואח'</CaseName>
        <FullAddress>דיזינגוף 610 תל אביב -יפו </FullAddress>
        <MotionID>0</MotionID>
        <CasePleaID>0</CasePleaID>
        <FatherName>בארי ברוך</FatherName>
        <LinkedCaseID>0</LinkedCaseID>
        <PartyID>2</PartyID>
        <CasePartyCategoryID>2</CasePartyCategoryID>
        <LegalEntityAddressID>85482271</LegalEntityAddressID>
        <PleaTypeID>4</PleaTypeID>
        <GroupPartyAlias>נתבעים</GroupPartyAlias>
        <IsConverted>false</IsConverted>
        <LegalEntityRegisteredNameID>8786414</LegalEntityRegisteredNameID>
        <LegalEntityNameID>91775963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אלרם</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טי.אל.טי.איי.איי.איי.פי. רכישות בע"מ</FullName>
        <LastName>טי.אל.טי.איי.איי.איי.פי. רכישות בע"מ</LastName>
        <PartyPropertyName/>
        <AuthenticationTypeAndNumber>חברות 512642612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229838975</CasePartyID>
        <PartyTypeID>1</PartyTypeID>
        <ActivityStatusID>1</ActivityStatusID>
        <PartyAliasID>2</PartyAliasID>
        <PartyAliasName>נתבע</PartyAliasName>
        <OrdinalNumber>11</OrdinalNumber>
        <LegalEntityID>264655</LegalEntityID>
        <CaseLegalEntityID>116316873</CaseLegalEntityID>
        <AuthenticationTypeID>3</AuthenticationTypeID>
        <AuthenticationTypeName>חברות</AuthenticationTypeName>
        <LegalEntityNumber>512642612</LegalEntityNumber>
        <IsMainPartyType>true</IsMainPartyType>
        <CaseDisplayIdentifier>11446-08-21</CaseDisplayIdentifier>
        <CaseTypeID>10036</CaseTypeID>
        <CaseTypeName>תובענה ייצוגית (ת"צ)</CaseTypeName>
        <CaseName>דור נ' לייט האוס 23 בע"מ ואח'</CaseName>
        <FullAddress>רמבה 32 רמת גן </FullAddress>
        <MotionID>0</MotionID>
        <CasePleaID>0</CasePleaID>
        <LinkedCaseID>0</LinkedCaseID>
        <PartyID>2</PartyID>
        <CasePartyCategoryID>2</CasePartyCategoryID>
        <LegalEntityAddressID>78148649</LegalEntityAddressID>
        <PleaTypeID>4</PleaTypeID>
        <GroupPartyAlias>נתבעים</GroupPartyAlias>
        <IsConverted>false</IsConverted>
        <LegalEntityRegisteredNameID>5043336</LegalEntityRegisteredNameID>
        <RepresentatedNamesOfAssistant/>
        <LegalEntityTypeID>3</LegalEntityTypeID>
        <IsVerdictExists>false</IsVerdictExists>
        <IsAsirAzir>false</IsAsirAzir>
        <MainAndSecSpec/>
        <IsPublicationProhibited>false</IsPublicationProhibited>
        <PublicationProhibitedFullName>טי.אל.טי.איי.איי.איי.פי. רכישות בע"מ</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דניאל נפתלי</FullName>
        <FirstName>דניאל</FirstName>
        <LastName>נפתלי</LastName>
        <PartyPropertyName/>
        <AuthenticationTypeAndNumber>ת"ז 052996956</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229838970</CasePartyID>
        <PartyTypeID>1</PartyTypeID>
        <ActivityStatusID>1</ActivityStatusID>
        <PartyAliasID>2</PartyAliasID>
        <PartyAliasName>נתבע</PartyAliasName>
        <OrdinalNumber>12</OrdinalNumber>
        <LegalEntityID>58039264</LegalEntityID>
        <CaseLegalEntityID>116316868</CaseLegalEntityID>
        <AuthenticationTypeID>1</AuthenticationTypeID>
        <AuthenticationTypeName>ת"ז</AuthenticationTypeName>
        <LegalEntityNumber>052996956</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רון</FatherName>
        <LinkedCaseID>0</LinkedCaseID>
        <PartyID>2</PartyID>
        <CasePartyCategoryID>2</CasePartyCategoryID>
        <PleaTypeID>4</PleaTypeID>
        <GroupPartyAlias>נתבעים</GroupPartyAlias>
        <IsConverted>false</IsConverted>
        <LegalEntityRegisteredNameID>9605532</LegalEntityRegisteredNameID>
        <LegalEntityNameID>91775802</LegalEntityNameID>
        <RepresentatedNamesOfAssistant/>
        <LegalEntityTypeID>1</LegalEntityTypeID>
        <IsVerdictExists>false</IsVerdictExists>
        <IsAsirAzir>false</IsAsirAzir>
        <MainAndSecSpec/>
        <IsPublicationProhibited>false</IsPublicationProhibited>
        <PublicationProhibitedFullName>דניאל נפתלי</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עומר עוז</FullName>
        <FirstName>עומר</FirstName>
        <LastName>עוז</LastName>
        <PartyPropertyName/>
        <AuthenticationTypeAndNumber>ת"ז 060935293</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229838971</CasePartyID>
        <PartyTypeID>1</PartyTypeID>
        <ActivityStatusID>1</ActivityStatusID>
        <PartyAliasID>2</PartyAliasID>
        <PartyAliasName>נתבע</PartyAliasName>
        <OrdinalNumber>13</OrdinalNumber>
        <LegalEntityID>69728287</LegalEntityID>
        <CaseLegalEntityID>116316869</CaseLegalEntityID>
        <AuthenticationTypeID>1</AuthenticationTypeID>
        <AuthenticationTypeName>ת"ז</AuthenticationTypeName>
        <LegalEntityNumber>060935293</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ששון</FatherName>
        <LinkedCaseID>0</LinkedCaseID>
        <PartyID>2</PartyID>
        <CasePartyCategoryID>2</CasePartyCategoryID>
        <PleaTypeID>4</PleaTypeID>
        <GroupPartyAlias>נתבעים</GroupPartyAlias>
        <IsConverted>false</IsConverted>
        <LegalEntityRegisteredNameID>9605533</LegalEntityRegisteredNameID>
        <LegalEntityNameID>91775803</LegalEntityNameID>
        <RepresentatedNamesOfAssistant/>
        <LegalEntityTypeID>1</LegalEntityTypeID>
        <IsVerdictExists>false</IsVerdictExists>
        <IsAsirAzir>false</IsAsirAzir>
        <MainAndSecSpec/>
        <IsPublicationProhibited>false</IsPublicationProhibited>
        <PublicationProhibitedFullName>עומר עוז</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דן עמית</FullName>
        <FirstName>דן</FirstName>
        <LastName>עמית</LastName>
        <PartyPropertyName/>
        <AuthenticationTypeAndNumber>ת"ז 066646464</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229838972</CasePartyID>
        <PartyTypeID>1</PartyTypeID>
        <ActivityStatusID>1</ActivityStatusID>
        <PartyAliasID>2</PartyAliasID>
        <PartyAliasName>נתבע</PartyAliasName>
        <OrdinalNumber>14</OrdinalNumber>
        <LegalEntityID>70336936</LegalEntityID>
        <CaseLegalEntityID>116316870</CaseLegalEntityID>
        <AuthenticationTypeID>1</AuthenticationTypeID>
        <AuthenticationTypeName>ת"ז</AuthenticationTypeName>
        <LegalEntityNumber>066646464</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יצחק</FatherName>
        <LinkedCaseID>0</LinkedCaseID>
        <PartyID>2</PartyID>
        <CasePartyCategoryID>2</CasePartyCategoryID>
        <PleaTypeID>4</PleaTypeID>
        <GroupPartyAlias>נתבעים</GroupPartyAlias>
        <IsConverted>false</IsConverted>
        <LegalEntityRegisteredNameID>9605534</LegalEntityRegisteredNameID>
        <LegalEntityNameID>91775804</LegalEntityNameID>
        <RepresentatedNamesOfAssistant/>
        <LegalEntityTypeID>1</LegalEntityTypeID>
        <IsVerdictExists>false</IsVerdictExists>
        <IsAsirAzir>false</IsAsirAzir>
        <MainAndSecSpec/>
        <IsPublicationProhibited>false</IsPublicationProhibited>
        <PublicationProhibitedFullName>דן עמית</PublicationProhibitedFullName>
      </CaseParties>
    </CasePartiesSelectionDS>
    <DecisionName>החלטה  שניתנה ע"י  יעקב שקד</DecisionName>
    <CourtDisplayName>בית המשפט המחוזי בתל אביב -יפו</CourtDisplayName>
    <IsCaseJudgePanel>false</IsCaseJudgePanel>
    <DecisionSignatureDate>2024-07-04T16:40:06.0777249+03:00</DecisionSignatureDate>
    <OpenCaseDate>2021-08-03T11:53:00+03:00</OpenCaseDate>
    <CaseFeeSum>0.000</CaseFeeSum>
    <DecisionTypeID>1</DecisionTypeID>
    <DecisionSignatureUserName>יעקב שקד</DecisionSignatureUserName>
    <DecisionSignatureDateHebrew>2024-07-04T16:40:06.0777249+03:00</DecisionSignatureDateHebrew>
    <DecisionWriterID>023972524@GOV.IL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דור נ' לייט האוס 23 בע"מ ואח'</CaseName>
    <DecisionNumberInCase>33</DecisionNumberInCase>
  </dt_Decision>
  <dt_DecisionCase>
    <DecisionID>0</DecisionID>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עוז קינן</FullName>
        <FirstName>עוז</FirstName>
        <LastName>קינן</LastName>
        <PartyPropertyName/>
        <AuthenticationTypeAndNumber>מ.ר. 78491</AuthenticationTypeAndNumber>
        <RepresentatedOrRepresentativesNames> , גל אלרם, יהונתן בן עמי, ירום גבאי, שלומי דיין, גיא הינן, עומר יהב, דניאל נפתלי, עומר עוז, דן עמית, ריף רפאל פרץ, גל קורן</RepresentatedOrRepresentativesNames>
        <RepresentatedOrRepresentativesCount>14</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240872247</CasePartyID>
        <PartyTypeID>2</PartyTypeID>
        <ActivityStatusID>1</ActivityStatusID>
        <PartyAliasID>21</PartyAliasID>
        <PartyAliasName>בא כוח נתבעים</PartyAliasName>
        <LegalEntityID>76605948</LegalEntityID>
        <CaseLegalEntityID>119723412</CaseLegalEntityID>
        <AuthenticationTypeID>4</AuthenticationTypeID>
        <AuthenticationTypeName>מ.ר.</AuthenticationTypeName>
        <LegalEntityNumber>78491</LegalEntityNumber>
        <IsMainPartyType>true</IsMainPartyType>
        <CaseDisplayIdentifier>11446-08-21</CaseDisplayIdentifier>
        <CaseTypeID>10036</CaseTypeID>
        <CaseTypeName>תובענה ייצוגית (ת"צ)</CaseTypeName>
        <CaseName>דור נ' לייט האוס 23 בע"מ ואח'</CaseName>
        <FullAddress>דרך מנחם בגין 144 א' תל אביב -יפו </FullAddress>
        <EmailAddress>office@fylaw.co.il</EmailAddress>
        <MotionID>0</MotionID>
        <CasePleaID>0</CasePleaID>
        <LinkedCaseID>0</LinkedCaseID>
        <PartyID>2</PartyID>
        <CasePartyCategoryID>2</CasePartyCategoryID>
        <LegalEntityAddressID>89334185</LegalEntityAddressID>
        <LegalEntityEmailAddressID>67829188</LegalEntityEmailAddressID>
        <PleaTypeID>4</PleaTypeID>
        <LawyerOfficeName>משרד עו"ד: פרידמן, יונגר ושות'</LawyerOfficeName>
        <LawyerOfficeID>426279</LawyerOfficeID>
        <GroupPartyAlias/>
        <IsConverted>false</IsConverted>
        <LegalEntityNameID>84395046</LegalEntityNameID>
        <RepresentatedNamesOfAssistant/>
        <LegalEntityTypeID>4</LegalEntityTypeID>
        <IsVerdictExists>false</IsVerdictExists>
        <IsAsirAzir>false</IsAsirAzir>
        <MainAndSecSpec/>
        <IsPublicationProhibited>false</IsPublicationProhibited>
        <PublicationProhibitedFullName>עוז קינן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מתן דור</FullName>
        <FirstName>מתן</FirstName>
        <LastName>דור</LastName>
        <PartyPropertyName/>
        <AuthenticationTypeAndNumber>ת"ז 305329609</AuthenticationTypeAndNumber>
        <RepresentatedOrRepresentativesNames>אייל אבידן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229838973</CasePartyID>
        <PartyTypeID>1</PartyTypeID>
        <ActivityStatusID>1</ActivityStatusID>
        <PartyAliasID>1</PartyAliasID>
        <PartyAliasName>תובע</PartyAliasName>
        <OrdinalNumber>1</OrdinalNumber>
        <LegalEntityID>75746591</LegalEntityID>
        <CaseLegalEntityID>116316871</CaseLegalEntityID>
        <AuthenticationTypeID>1</AuthenticationTypeID>
        <AuthenticationTypeName>ת"ז</AuthenticationTypeName>
        <LegalEntityNumber>305329609</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דני</FatherName>
        <LinkedCaseID>0</LinkedCaseID>
        <PartyID>1</PartyID>
        <CasePartyCategoryID>2</CasePartyCategoryID>
        <PleaTypeID>4</PleaTypeID>
        <GroupPartyAlias>תובעים</GroupPartyAlias>
        <IsConverted>false</IsConverted>
        <LegalEntityRegisteredNameID>7512519</LegalEntityRegisteredNameID>
        <LegalEntityNameID>91775805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מתן דור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אייל אבידן</FullName>
        <FirstName>אייל</FirstName>
        <LastName>אבידן</LastName>
        <PartyPropertyName/>
        <AuthenticationTypeAndNumber>מ.ר. 48170</AuthenticationTypeAndNumber>
        <RepresentatedOrRepresentativesNames>מתן דור</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229838974</CasePartyID>
        <PartyTypeID>2</PartyTypeID>
        <ActivityStatusID>1</ActivityStatusID>
        <PartyAliasID>20</PartyAliasID>
        <PartyAliasName>בא כוח תובעים</PartyAliasName>
        <OrdinalNumber>1</OrdinalNumber>
        <LegalEntityID>7594546</LegalEntityID>
        <CaseLegalEntityID>116316872</CaseLegalEntityID>
        <AuthenticationTypeID>4</AuthenticationTypeID>
        <AuthenticationTypeName>מ.ר.</AuthenticationTypeName>
        <LegalEntityNumber>48170</LegalEntityNumber>
        <IsMainPartyType>true</IsMainPartyType>
        <CaseDisplayIdentifier>11446-08-21</CaseDisplayIdentifier>
        <CaseTypeID>10036</CaseTypeID>
        <CaseTypeName>תובענה ייצוגית (ת"צ)</CaseTypeName>
        <CaseName>דור נ' לייט האוס 23 בע"מ ואח'</CaseName>
        <FullAddress>בארות 31 גבעת זאב </FullAddress>
        <EmailAddress>eyalavidan@gmail.com</EmailAddress>
        <MotionID>0</MotionID>
        <CasePleaID>0</CasePleaID>
        <LinkedCaseID>0</LinkedCaseID>
        <PartyID>1</PartyID>
        <CasePartyCategoryID>2</CasePartyCategoryID>
        <LegalEntityAddressID>80291410</LegalEntityAddressID>
        <LegalEntityEmailAddressID>67836243</LegalEntityEmailAddressID>
        <PleaTypeID>4</PleaTypeID>
        <LawyerOfficeName>משרד עו"ד אייל אבידן</LawyerOfficeName>
        <LawyerOfficeID>7594547</LawyerOfficeID>
        <GroupPartyAlias/>
        <IsConverted>false</IsConverted>
        <LegalEntityNameID>73054072</LegalEntityNameID>
        <RepresentatedNamesOfAssistant/>
        <LegalEntityTypeID>4</LegalEntityTypeID>
        <IsVerdictExists>false</IsVerdictExists>
        <IsAsirAzir>false</IsAsirAzir>
        <MainAndSecSpec/>
        <IsPublicationProhibited>false</IsPublicationProhibited>
        <PublicationProhibitedFullName>אייל אבידן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יצחק יונגר</FullName>
        <FirstName>יצחק</FirstName>
        <LastName>יונגר</LastName>
        <PartyPropertyName/>
        <AuthenticationTypeAndNumber>מ.ר. 19560</AuthenticationTypeAndNumber>
        <RepresentatedOrRepresentativesNames xml:space="preserve"> </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233937361</CasePartyID>
        <PartyTypeID>2</PartyTypeID>
        <ActivityStatusID>1</ActivityStatusID>
        <PartyAliasID>21</PartyAliasID>
        <PartyAliasName>בא כוח נתבעים</PartyAliasName>
        <OrdinalNumber>1</OrdinalNumber>
        <LegalEntityID>385635</LegalEntityID>
        <CaseLegalEntityID>117637685</CaseLegalEntityID>
        <AuthenticationTypeID>4</AuthenticationTypeID>
        <AuthenticationTypeName>מ.ר.</AuthenticationTypeName>
        <LegalEntityNumber>19560</LegalEntityNumber>
        <IsMainPartyType>true</IsMainPartyType>
        <CaseDisplayIdentifier>11446-08-21</CaseDisplayIdentifier>
        <CaseTypeID>10036</CaseTypeID>
        <CaseTypeName>תובענה ייצוגית (ת"צ)</CaseTypeName>
        <CaseName>דור נ' לייט האוס 23 בע"מ ואח'</CaseName>
        <FullAddress>דרך מנחם בגין 144 א' תל אביב -יפו </FullAddress>
        <EmailAddress>office@fylaw.co.il</EmailAddress>
        <MotionID>0</MotionID>
        <CasePleaID>0</CasePleaID>
        <LinkedCaseID>0</LinkedCaseID>
        <PartyID>2</PartyID>
        <CasePartyCategoryID>2</CasePartyCategoryID>
        <LegalEntityAddressID>89334185</LegalEntityAddressID>
        <LegalEntityEmailAddressID>67829188</LegalEntityEmailAddressID>
        <PleaTypeID>4</PleaTypeID>
        <LawyerOfficeName>משרד עו"ד: פרידמן, יונגר ושות'</LawyerOfficeName>
        <LawyerOfficeID>426279</LawyerOfficeID>
        <GroupPartyAlias/>
        <IsConverted>false</IsConverted>
        <LegalEntityNameID>6619</LegalEntityNameID>
        <RepresentatedNamesOfAssistant/>
        <LegalEntityTypeID>4</LegalEntityTypeID>
        <IsVerdictExists>false</IsVerdictExists>
        <IsAsirAzir>false</IsAsirAzir>
        <MainAndSecSpec/>
        <IsPublicationProhibited>false</IsPublicationProhibited>
        <PublicationProhibitedFullName>יצחק יונגר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לייט האוס 23 בע"מ</FullName>
        <LastName>לייט האוס 23 בע"מ</LastName>
        <PartyPropertyName/>
        <AuthenticationTypeAndNumber>חברות 515441251</AuthenticationTypeAndNumber>
        <RepresentatedOrRepresentativesNames>יצחק יונגר, עוז קינן</RepresentatedOrRepresentativesNames>
        <RepresentatedOrRepresentativesCount>2</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229839585</CasePartyID>
        <PartyTypeID>1</PartyTypeID>
        <ActivityStatusID>1</ActivityStatusID>
        <PartyAliasID>2</PartyAliasID>
        <PartyAliasName>נתבע</PartyAliasName>
        <OrdinalNumber>1</OrdinalNumber>
        <LegalEntityID>75362431</LegalEntityID>
        <CaseLegalEntityID>116317048</CaseLegalEntityID>
        <AuthenticationTypeID>3</AuthenticationTypeID>
        <AuthenticationTypeName>חברות</AuthenticationTypeName>
        <LegalEntityNumber>515441251</LegalEntityNumber>
        <IsMainPartyType>true</IsMainPartyType>
        <CaseDisplayIdentifier>11446-08-21</CaseDisplayIdentifier>
        <CaseTypeID>10036</CaseTypeID>
        <CaseTypeName>תובענה ייצוגית (ת"צ)</CaseTypeName>
        <CaseName>דור נ' לייט האוס 23 בע"מ ואח'</CaseName>
        <FullAddress>ירמיהו 5 תל אביב -יפו </FullAddress>
        <MotionID>0</MotionID>
        <CasePleaID>0</CasePleaID>
        <LinkedCaseID>0</LinkedCaseID>
        <PartyID>2</PartyID>
        <CasePartyCategoryID>2</CasePartyCategoryID>
        <LegalEntityAddressID>85482212</LegalEntityAddressID>
        <PleaTypeID>4</PleaTypeID>
        <GroupPartyAlias>נתבעים</GroupPartyAlias>
        <IsConverted>false</IsConverted>
        <LegalEntityRegisteredNameID>5424865</LegalEntityRegisteredNameID>
        <RepresentatedNamesOfAssistant/>
        <LegalEntityTypeID>3</LegalEntityTypeID>
        <IsVerdictExists>false</IsVerdictExists>
        <IsAsirAzir>false</IsAsirAzir>
        <MainAndSecSpec/>
        <IsPublicationProhibited>false</IsPublicationProhibited>
        <PublicationProhibitedFullName>לייט האוס 23 בע"מ</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א.ד. נוקס בע"מ</FullName>
        <LastName>א.ד. נוקס בע"מ</LastName>
        <PartyPropertyName/>
        <AuthenticationTypeAndNumber>חברות 514952795</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229839599</CasePartyID>
        <PartyTypeID>1</PartyTypeID>
        <ActivityStatusID>1</ActivityStatusID>
        <PartyAliasID>2</PartyAliasID>
        <PartyAliasName>נתבע</PartyAliasName>
        <OrdinalNumber>2</OrdinalNumber>
        <LegalEntityID>72716274</LegalEntityID>
        <CaseLegalEntityID>116317058</CaseLegalEntityID>
        <AuthenticationTypeID>3</AuthenticationTypeID>
        <AuthenticationTypeName>חברות</AuthenticationTypeName>
        <LegalEntityNumber>514952795</LegalEntityNumber>
        <IsMainPartyType>true</IsMainPartyType>
        <CaseDisplayIdentifier>11446-08-21</CaseDisplayIdentifier>
        <CaseTypeID>10036</CaseTypeID>
        <CaseTypeName>תובענה ייצוגית (ת"צ)</CaseTypeName>
        <CaseName>דור נ' לייט האוס 23 בע"מ ואח'</CaseName>
        <FullAddress>ירמיהו 5 תל אביב -יפו קומה א</FullAddress>
        <MotionID>0</MotionID>
        <CasePleaID>0</CasePleaID>
        <LinkedCaseID>0</LinkedCaseID>
        <PartyID>2</PartyID>
        <CasePartyCategoryID>2</CasePartyCategoryID>
        <LegalEntityAddressID>88766899</LegalEntityAddressID>
        <PleaTypeID>4</PleaTypeID>
        <GroupPartyAlias>נתבעים</GroupPartyAlias>
        <IsConverted>false</IsConverted>
        <LegalEntityRegisteredNameID>3949491</LegalEntityRegisteredNameID>
        <RepresentatedNamesOfAssistant/>
        <LegalEntityTypeID>3</LegalEntityTypeID>
        <IsVerdictExists>false</IsVerdictExists>
        <IsAsirAzir>false</IsAsirAzir>
        <MainAndSecSpec/>
        <IsPublicationProhibited>false</IsPublicationProhibited>
        <PublicationProhibitedFullName>א.ד. נוקס בע"מ</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יהונתן בן עמי</FullName>
        <FirstName>יהונתן</FirstName>
        <LastName>בן עמי</LastName>
        <PartyPropertyName/>
        <AuthenticationTypeAndNumber>ת"ז 200038248</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229839796</CasePartyID>
        <PartyTypeID>1</PartyTypeID>
        <ActivityStatusID>1</ActivityStatusID>
        <PartyAliasID>2</PartyAliasID>
        <PartyAliasName>נתבע</PartyAliasName>
        <OrdinalNumber>3</OrdinalNumber>
        <LegalEntityID>79548423</LegalEntityID>
        <CaseLegalEntityID>116317119</CaseLegalEntityID>
        <AuthenticationTypeID>1</AuthenticationTypeID>
        <AuthenticationTypeName>ת"ז</AuthenticationTypeName>
        <LegalEntityNumber>200038248</LegalEntityNumber>
        <IsMainPartyType>true</IsMainPartyType>
        <CaseDisplayIdentifier>11446-08-21</CaseDisplayIdentifier>
        <CaseTypeID>10036</CaseTypeID>
        <CaseTypeName>תובענה ייצוגית (ת"צ)</CaseTypeName>
        <CaseName>דור נ' לייט האוס 23 בע"מ ואח'</CaseName>
        <FullAddress>שפרינצק 9 תל אביב -יפו </FullAddress>
        <MotionID>0</MotionID>
        <CasePleaID>0</CasePleaID>
        <FatherName>יהודה אודי</FatherName>
        <LinkedCaseID>0</LinkedCaseID>
        <PartyID>2</PartyID>
        <CasePartyCategoryID>2</CasePartyCategoryID>
        <LegalEntityAddressID>85482237</LegalEntityAddressID>
        <GrandfatherName/>
        <DrivingLicenseNumber>9177355</DrivingLicenseNumber>
        <PleaTypeID>4</PleaTypeID>
        <GroupPartyAlias>נתבעים</GroupPartyAlias>
        <IsConverted>false</IsConverted>
        <LegalEntityRegisteredNameID>9413011</LegalEntityRegisteredNameID>
        <LegalEntityNameID>91775905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יהונתן בן עמי</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גיא הינן</FullName>
        <FirstName>גיא</FirstName>
        <LastName>הינן</LastName>
        <PartyPropertyName/>
        <AuthenticationTypeAndNumber>ת"ז 200334118</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229839860</CasePartyID>
        <PartyTypeID>1</PartyTypeID>
        <ActivityStatusID>1</ActivityStatusID>
        <PartyAliasID>2</PartyAliasID>
        <PartyAliasName>נתבע</PartyAliasName>
        <OrdinalNumber>4</OrdinalNumber>
        <LegalEntityID>58082306</LegalEntityID>
        <CaseLegalEntityID>116317145</CaseLegalEntityID>
        <AuthenticationTypeID>1</AuthenticationTypeID>
        <AuthenticationTypeName>ת"ז</AuthenticationTypeName>
        <LegalEntityNumber>200334118</LegalEntityNumber>
        <IsMainPartyType>true</IsMainPartyType>
        <CaseDisplayIdentifier>11446-08-21</CaseDisplayIdentifier>
        <CaseTypeID>10036</CaseTypeID>
        <CaseTypeName>תובענה ייצוגית (ת"צ)</CaseTypeName>
        <CaseName>דור נ' לייט האוס 23 בע"מ ואח'</CaseName>
        <FullAddress>ויתקין 11 תל אביב -יפו </FullAddress>
        <MotionID>0</MotionID>
        <CasePleaID>0</CasePleaID>
        <FatherName>אליעזר לזלי</FatherName>
        <LinkedCaseID>0</LinkedCaseID>
        <PartyID>2</PartyID>
        <CasePartyCategoryID>2</CasePartyCategoryID>
        <LegalEntityAddressID>85482234</LegalEntityAddressID>
        <PleaTypeID>4</PleaTypeID>
        <GroupPartyAlias>נתבעים</GroupPartyAlias>
        <IsConverted>false</IsConverted>
        <LegalEntityRegisteredNameID>5283909</LegalEntityRegisteredNameID>
        <LegalEntityNameID>91775913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הינן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עומר יהב</FullName>
        <FirstName>עומר</FirstName>
        <LastName>יהב</LastName>
        <PartyPropertyName/>
        <AuthenticationTypeAndNumber>ת"ז 203263702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229840023</CasePartyID>
        <PartyTypeID>1</PartyTypeID>
        <ActivityStatusID>1</ActivityStatusID>
        <PartyAliasID>2</PartyAliasID>
        <PartyAliasName>נתבע</PartyAliasName>
        <OrdinalNumber>5</OrdinalNumber>
        <LegalEntityID>74708470</LegalEntityID>
        <CaseLegalEntityID>116317188</CaseLegalEntityID>
        <AuthenticationTypeID>1</AuthenticationTypeID>
        <AuthenticationTypeName>ת"ז</AuthenticationTypeName>
        <LegalEntityNumber>203263702</LegalEntityNumber>
        <IsMainPartyType>true</IsMainPartyType>
        <CaseDisplayIdentifier>11446-08-21</CaseDisplayIdentifier>
        <CaseTypeID>10036</CaseTypeID>
        <CaseTypeName>תובענה ייצוגית (ת"צ)</CaseTypeName>
        <CaseName>דור נ' לייט האוס 23 בע"מ ואח'</CaseName>
        <FullAddress>הר נבו 7 רמת השרון </FullAddress>
        <MotionID>0</MotionID>
        <CasePleaID>0</CasePleaID>
        <FatherName>יוסף</FatherName>
        <LinkedCaseID>0</LinkedCaseID>
        <PartyID>2</PartyID>
        <CasePartyCategoryID>2</CasePartyCategoryID>
        <LegalEntityAddressID>85482252</LegalEntityAddressID>
        <PleaTypeID>4</PleaTypeID>
        <GroupPartyAlias>נתבעים</GroupPartyAlias>
        <IsConverted>false</IsConverted>
        <LegalEntityRegisteredNameID>6224351</LegalEntityRegisteredNameID>
        <LegalEntityNameID>91775925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עומר יהב</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ירום גבאי</FullName>
        <FirstName>ירום</FirstName>
        <LastName>גבאי</LastName>
        <PartyPropertyName/>
        <AuthenticationTypeAndNumber>ת"ז 205656002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229840138</CasePartyID>
        <PartyTypeID>1</PartyTypeID>
        <ActivityStatusID>1</ActivityStatusID>
        <PartyAliasID>2</PartyAliasID>
        <PartyAliasName>נתבע</PartyAliasName>
        <OrdinalNumber>6</OrdinalNumber>
        <LegalEntityID>79928206</LegalEntityID>
        <CaseLegalEntityID>116317225</CaseLegalEntityID>
        <AuthenticationTypeID>1</AuthenticationTypeID>
        <AuthenticationTypeName>ת"ז</AuthenticationTypeName>
        <LegalEntityNumber>205656002</LegalEntityNumber>
        <IsMainPartyType>true</IsMainPartyType>
        <CaseDisplayIdentifier>11446-08-21</CaseDisplayIdentifier>
        <CaseTypeID>10036</CaseTypeID>
        <CaseTypeName>תובענה ייצוגית (ת"צ)</CaseTypeName>
        <CaseName>דור נ' לייט האוס 23 בע"מ ואח'</CaseName>
        <FullAddress>ברוך צ'מרינסקי 1 תל אביב -יפו </FullAddress>
        <MotionID>0</MotionID>
        <CasePleaID>0</CasePleaID>
        <FatherName>מיכאל</FatherName>
        <LinkedCaseID>0</LinkedCaseID>
        <PartyID>2</PartyID>
        <CasePartyCategoryID>2</CasePartyCategoryID>
        <LegalEntityAddressID>85482261</LegalEntityAddressID>
        <PleaTypeID>4</PleaTypeID>
        <GroupPartyAlias>נתבעים</GroupPartyAlias>
        <IsConverted>false</IsConverted>
        <LegalEntityRegisteredNameID>9605563</LegalEntityRegisteredNameID>
        <LegalEntityNameID>91775938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ירום גבאי</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גל קורן</FullName>
        <FirstName>גל</FirstName>
        <LastName>קורן</LastName>
        <PartyPropertyName/>
        <AuthenticationTypeAndNumber>ת"ז 021660543</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229840208</CasePartyID>
        <PartyTypeID>1</PartyTypeID>
        <ActivityStatusID>1</ActivityStatusID>
        <PartyAliasID>2</PartyAliasID>
        <PartyAliasName>נתבע</PartyAliasName>
        <OrdinalNumber>7</OrdinalNumber>
        <LegalEntityID>79928207</LegalEntityID>
        <CaseLegalEntityID>116317233</CaseLegalEntityID>
        <AuthenticationTypeID>1</AuthenticationTypeID>
        <AuthenticationTypeName>ת"ז</AuthenticationTypeName>
        <LegalEntityNumber>021660543</LegalEntityNumber>
        <IsMainPartyType>true</IsMainPartyType>
        <CaseDisplayIdentifier>11446-08-21</CaseDisplayIdentifier>
        <CaseTypeID>10036</CaseTypeID>
        <CaseTypeName>תובענה ייצוגית (ת"צ)</CaseTypeName>
        <CaseName>דור נ' לייט האוס 23 בע"מ ואח'</CaseName>
        <FullAddress>בזל 3 תל אביב -יפו </FullAddress>
        <MotionID>0</MotionID>
        <CasePleaID>0</CasePleaID>
        <FatherName>חיים</FatherName>
        <LinkedCaseID>0</LinkedCaseID>
        <PartyID>2</PartyID>
        <CasePartyCategoryID>2</CasePartyCategoryID>
        <LegalEntityAddressID>85482257</LegalEntityAddressID>
        <PleaTypeID>4</PleaTypeID>
        <GroupPartyAlias>נתבעים</GroupPartyAlias>
        <IsConverted>false</IsConverted>
        <LegalEntityRegisteredNameID>9605564</LegalEntityRegisteredNameID>
        <LegalEntityNameID>91775939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קורן</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ריף רפאל פרץ</FullName>
        <FirstName>ריף רפאל</FirstName>
        <LastName>פרץ</LastName>
        <PartyPropertyName/>
        <AuthenticationTypeAndNumber>ת"ז 304852072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229840300</CasePartyID>
        <PartyTypeID>1</PartyTypeID>
        <ActivityStatusID>1</ActivityStatusID>
        <PartyAliasID>2</PartyAliasID>
        <PartyAliasName>נתבע</PartyAliasName>
        <OrdinalNumber>8</OrdinalNumber>
        <LegalEntityID>70819456</LegalEntityID>
        <CaseLegalEntityID>116317249</CaseLegalEntityID>
        <AuthenticationTypeID>1</AuthenticationTypeID>
        <AuthenticationTypeName>ת"ז</AuthenticationTypeName>
        <LegalEntityNumber>304852072</LegalEntityNumber>
        <IsMainPartyType>true</IsMainPartyType>
        <CaseDisplayIdentifier>11446-08-21</CaseDisplayIdentifier>
        <CaseTypeID>10036</CaseTypeID>
        <CaseTypeName>תובענה ייצוגית (ת"צ)</CaseTypeName>
        <CaseName>דור נ' לייט האוס 23 בע"מ ואח'</CaseName>
        <FullAddress>אמיר גלבוע 1 תל אביב -יפו </FullAddress>
        <MotionID>0</MotionID>
        <CasePleaID>0</CasePleaID>
        <FatherName>יעקב</FatherName>
        <LinkedCaseID>0</LinkedCaseID>
        <PartyID>2</PartyID>
        <CasePartyCategoryID>2</CasePartyCategoryID>
        <LegalEntityAddressID>85482260</LegalEntityAddressID>
        <GrandfatherName/>
        <DrivingLicenseNumber>9080470</DrivingLicenseNumber>
        <PleaTypeID>4</PleaTypeID>
        <GroupPartyAlias>נתבעים</GroupPartyAlias>
        <IsConverted>false</IsConverted>
        <LegalEntityRegisteredNameID>9605566</LegalEntityRegisteredNameID>
        <LegalEntityNameID>91775944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ריף רפאל פרץ</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שלומי דיין</FullName>
        <FirstName>שלומי</FirstName>
        <LastName>דיין</LastName>
        <PartyPropertyName/>
        <AuthenticationTypeAndNumber>ת"ז 040174872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229840434</CasePartyID>
        <PartyTypeID>1</PartyTypeID>
        <ActivityStatusID>1</ActivityStatusID>
        <PartyAliasID>2</PartyAliasID>
        <PartyAliasName>נתבע</PartyAliasName>
        <OrdinalNumber>9</OrdinalNumber>
        <LegalEntityID>16624419</LegalEntityID>
        <CaseLegalEntityID>116317269</CaseLegalEntityID>
        <AuthenticationTypeID>1</AuthenticationTypeID>
        <AuthenticationTypeName>ת"ז</AuthenticationTypeName>
        <LegalEntityNumber>040174872</LegalEntityNumber>
        <IsMainPartyType>true</IsMainPartyType>
        <CaseDisplayIdentifier>11446-08-21</CaseDisplayIdentifier>
        <CaseTypeID>10036</CaseTypeID>
        <CaseTypeName>תובענה ייצוגית (ת"צ)</CaseTypeName>
        <CaseName>דור נ' לייט האוס 23 בע"מ ואח'</CaseName>
        <FullAddress>גלוסקין 10 תל אביב -יפו </FullAddress>
        <MotionID>0</MotionID>
        <CasePleaID>0</CasePleaID>
        <FatherName>יעקב</FatherName>
        <LinkedCaseID>0</LinkedCaseID>
        <PartyID>2</PartyID>
        <CasePartyCategoryID>2</CasePartyCategoryID>
        <LegalEntityAddressID>85482264</LegalEntityAddressID>
        <GrandfatherName/>
        <DrivingLicenseNumber>7032242</DrivingLicenseNumber>
        <PleaTypeID>4</PleaTypeID>
        <GroupPartyAlias>נתבעים</GroupPartyAlias>
        <IsConverted>false</IsConverted>
        <LegalEntityRegisteredNameID>5061822</LegalEntityRegisteredNameID>
        <LegalEntityNameID>91775954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שלומי דיין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גל אלרם</FullName>
        <FirstName>גל</FirstName>
        <LastName>אלרם</LastName>
        <PartyPropertyName/>
        <AuthenticationTypeAndNumber>ת"ז 046647517</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229840508</CasePartyID>
        <PartyTypeID>1</PartyTypeID>
        <ActivityStatusID>1</ActivityStatusID>
        <PartyAliasID>2</PartyAliasID>
        <PartyAliasName>נתבע</PartyAliasName>
        <OrdinalNumber>10</OrdinalNumber>
        <LegalEntityID>22032449</LegalEntityID>
        <CaseLegalEntityID>116317297</CaseLegalEntityID>
        <AuthenticationTypeID>1</AuthenticationTypeID>
        <AuthenticationTypeName>ת"ז</AuthenticationTypeName>
        <LegalEntityNumber>046647517</LegalEntityNumber>
        <IsMainPartyType>true</IsMainPartyType>
        <CaseDisplayIdentifier>11446-08-21</CaseDisplayIdentifier>
        <CaseTypeID>10036</CaseTypeID>
        <CaseTypeName>תובענה ייצוגית (ת"צ)</CaseTypeName>
        <CaseName>דור נ' לייט האוס 23 בע"מ ואח'</CaseName>
        <FullAddress>דיזינגוף 610 תל אביב -יפו </FullAddress>
        <MotionID>0</MotionID>
        <CasePleaID>0</CasePleaID>
        <FatherName>בארי ברוך</FatherName>
        <LinkedCaseID>0</LinkedCaseID>
        <PartyID>2</PartyID>
        <CasePartyCategoryID>2</CasePartyCategoryID>
        <LegalEntityAddressID>85482271</LegalEntityAddressID>
        <PleaTypeID>4</PleaTypeID>
        <GroupPartyAlias>נתבעים</GroupPartyAlias>
        <IsConverted>false</IsConverted>
        <LegalEntityRegisteredNameID>8786414</LegalEntityRegisteredNameID>
        <LegalEntityNameID>91775963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גל אלרם</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טי.אל.טי.איי.איי.איי.פי. רכישות בע"מ</FullName>
        <LastName>טי.אל.טי.איי.איי.איי.פי. רכישות בע"מ</LastName>
        <PartyPropertyName/>
        <AuthenticationTypeAndNumber>חברות 512642612</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229838975</CasePartyID>
        <PartyTypeID>1</PartyTypeID>
        <ActivityStatusID>1</ActivityStatusID>
        <PartyAliasID>2</PartyAliasID>
        <PartyAliasName>נתבע</PartyAliasName>
        <OrdinalNumber>11</OrdinalNumber>
        <LegalEntityID>264655</LegalEntityID>
        <CaseLegalEntityID>116316873</CaseLegalEntityID>
        <AuthenticationTypeID>3</AuthenticationTypeID>
        <AuthenticationTypeName>חברות</AuthenticationTypeName>
        <LegalEntityNumber>512642612</LegalEntityNumber>
        <IsMainPartyType>true</IsMainPartyType>
        <CaseDisplayIdentifier>11446-08-21</CaseDisplayIdentifier>
        <CaseTypeID>10036</CaseTypeID>
        <CaseTypeName>תובענה ייצוגית (ת"צ)</CaseTypeName>
        <CaseName>דור נ' לייט האוס 23 בע"מ ואח'</CaseName>
        <FullAddress>רמבה 32 רמת גן </FullAddress>
        <MotionID>0</MotionID>
        <CasePleaID>0</CasePleaID>
        <LinkedCaseID>0</LinkedCaseID>
        <PartyID>2</PartyID>
        <CasePartyCategoryID>2</CasePartyCategoryID>
        <LegalEntityAddressID>78148649</LegalEntityAddressID>
        <PleaTypeID>4</PleaTypeID>
        <GroupPartyAlias>נתבעים</GroupPartyAlias>
        <IsConverted>false</IsConverted>
        <LegalEntityRegisteredNameID>5043336</LegalEntityRegisteredNameID>
        <RepresentatedNamesOfAssistant/>
        <LegalEntityTypeID>3</LegalEntityTypeID>
        <IsVerdictExists>false</IsVerdictExists>
        <IsAsirAzir>false</IsAsirAzir>
        <MainAndSecSpec/>
        <IsPublicationProhibited>false</IsPublicationProhibited>
        <PublicationProhibitedFullName>טי.אל.טי.איי.איי.איי.פי. רכישות בע"מ</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דניאל נפתלי</FullName>
        <FirstName>דניאל</FirstName>
        <LastName>נפתלי</LastName>
        <PartyPropertyName/>
        <AuthenticationTypeAndNumber>ת"ז 052996956</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229838970</CasePartyID>
        <PartyTypeID>1</PartyTypeID>
        <ActivityStatusID>1</ActivityStatusID>
        <PartyAliasID>2</PartyAliasID>
        <PartyAliasName>נתבע</PartyAliasName>
        <OrdinalNumber>12</OrdinalNumber>
        <LegalEntityID>58039264</LegalEntityID>
        <CaseLegalEntityID>116316868</CaseLegalEntityID>
        <AuthenticationTypeID>1</AuthenticationTypeID>
        <AuthenticationTypeName>ת"ז</AuthenticationTypeName>
        <LegalEntityNumber>052996956</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רון</FatherName>
        <LinkedCaseID>0</LinkedCaseID>
        <PartyID>2</PartyID>
        <CasePartyCategoryID>2</CasePartyCategoryID>
        <PleaTypeID>4</PleaTypeID>
        <GroupPartyAlias>נתבעים</GroupPartyAlias>
        <IsConverted>false</IsConverted>
        <LegalEntityRegisteredNameID>9605532</LegalEntityRegisteredNameID>
        <LegalEntityNameID>91775802</LegalEntityNameID>
        <RepresentatedNamesOfAssistant/>
        <LegalEntityTypeID>1</LegalEntityTypeID>
        <IsVerdictExists>false</IsVerdictExists>
        <IsAsirAzir>false</IsAsirAzir>
        <MainAndSecSpec/>
        <IsPublicationProhibited>false</IsPublicationProhibited>
        <PublicationProhibitedFullName>דניאל נפתלי</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עומר עוז</FullName>
        <FirstName>עומר</FirstName>
        <LastName>עוז</LastName>
        <PartyPropertyName/>
        <AuthenticationTypeAndNumber>ת"ז 060935293</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229838971</CasePartyID>
        <PartyTypeID>1</PartyTypeID>
        <ActivityStatusID>1</ActivityStatusID>
        <PartyAliasID>2</PartyAliasID>
        <PartyAliasName>נתבע</PartyAliasName>
        <OrdinalNumber>13</OrdinalNumber>
        <LegalEntityID>69728287</LegalEntityID>
        <CaseLegalEntityID>116316869</CaseLegalEntityID>
        <AuthenticationTypeID>1</AuthenticationTypeID>
        <AuthenticationTypeName>ת"ז</AuthenticationTypeName>
        <LegalEntityNumber>060935293</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ששון</FatherName>
        <LinkedCaseID>0</LinkedCaseID>
        <PartyID>2</PartyID>
        <CasePartyCategoryID>2</CasePartyCategoryID>
        <PleaTypeID>4</PleaTypeID>
        <GroupPartyAlias>נתבעים</GroupPartyAlias>
        <IsConverted>false</IsConverted>
        <LegalEntityRegisteredNameID>9605533</LegalEntityRegisteredNameID>
        <LegalEntityNameID>91775803</LegalEntityNameID>
        <RepresentatedNamesOfAssistant/>
        <LegalEntityTypeID>1</LegalEntityTypeID>
        <IsVerdictExists>false</IsVerdictExists>
        <IsAsirAzir>false</IsAsirAzir>
        <MainAndSecSpec/>
        <IsPublicationProhibited>false</IsPublicationProhibited>
        <PublicationProhibitedFullName>עומר עוז</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דן עמית</FullName>
        <FirstName>דן</FirstName>
        <LastName>עמית</LastName>
        <PartyPropertyName/>
        <AuthenticationTypeAndNumber>ת"ז 066646464</AuthenticationTypeAndNumber>
        <RepresentatedOrRepresentativesNames>עוז קינן</RepresentatedOrRepresentativesNames>
        <RepresentatedOrRepresentativesCount>1</RepresentatedOrRepresentativesCount>
        <InvitedBy/>
        <CaseID>78545807</CaseID>
        <CaseJudicialPersonPresentationDS>
          <CaseJudicalPersonActive>
            <CaseID>78545807</CaseID>
            <JudicialPersonID>023972524@GOV.IL</JudicialPersonID>
            <JudicialPersonTypeID>1</JudicialPersonTypeID>
            <JudicialTypeID>1</JudicialTypeID>
            <IsChairman>false</IsChairman>
            <TreatmentStartDate>2023-11-06T09:21:02.623+02:00</TreatmentStartDate>
            <TreatmentFinishDate>9999-12-31T23:59:59.997+02:00</TreatmentFinishDate>
            <IdentificationCardNumber>023972524</IdentificationCardNumber>
            <DisplayName>יעקב שקד</DisplayName>
            <JudicialTypeName>שופט</JudicialTypeName>
            <CaseJudicialGroupNumber>0</CaseJudicialGroupNumber>
            <FirstName>יעקב</FirstName>
            <LastName>שקד</LastName>
            <JudicialPersonTitle>שופט</JudicialPersonTitle>
          </CaseJudicalPersonActive>
        </CaseJudicialPersonPresentationDS>
        <CasePartyID>229838972</CasePartyID>
        <PartyTypeID>1</PartyTypeID>
        <ActivityStatusID>1</ActivityStatusID>
        <PartyAliasID>2</PartyAliasID>
        <PartyAliasName>נתבע</PartyAliasName>
        <OrdinalNumber>14</OrdinalNumber>
        <LegalEntityID>70336936</LegalEntityID>
        <CaseLegalEntityID>116316870</CaseLegalEntityID>
        <AuthenticationTypeID>1</AuthenticationTypeID>
        <AuthenticationTypeName>ת"ז</AuthenticationTypeName>
        <LegalEntityNumber>066646464</LegalEntityNumber>
        <IsMainPartyType>true</IsMainPartyType>
        <CaseDisplayIdentifier>11446-08-21</CaseDisplayIdentifier>
        <CaseTypeID>10036</CaseTypeID>
        <CaseTypeName>תובענה ייצוגית (ת"צ)</CaseTypeName>
        <CaseName>דור נ' לייט האוס 23 בע"מ ואח'</CaseName>
        <FullAddress/>
        <MotionID>0</MotionID>
        <CasePleaID>0</CasePleaID>
        <FatherName>יצחק</FatherName>
        <LinkedCaseID>0</LinkedCaseID>
        <PartyID>2</PartyID>
        <CasePartyCategoryID>2</CasePartyCategoryID>
        <PleaTypeID>4</PleaTypeID>
        <GroupPartyAlias>נתבעים</GroupPartyAlias>
        <IsConverted>false</IsConverted>
        <LegalEntityRegisteredNameID>9605534</LegalEntityRegisteredNameID>
        <LegalEntityNameID>91775804</LegalEntityNameID>
        <RepresentatedNamesOfAssistant/>
        <LegalEntityTypeID>1</LegalEntityTypeID>
        <IsVerdictExists>false</IsVerdictExists>
        <IsAsirAzir>false</IsAsirAzir>
        <MainAndSecSpec/>
        <IsPublicationProhibited>false</IsPublicationProhibited>
        <PublicationProhibitedFullName>דן עמית</PublicationProhibitedFullName>
      </CaseParties>
    </CasePartiesSelectionDS>
    <CaseName>דור נ' לייט האוס 23 בע"מ ואח'</CaseName>
    <CaseDisplayIdentifier>11446-08-21</CaseDisplayIdentifier>
    <CaseInterestID>10462</CaseInterestID>
    <CaseTypeShortName>ת"צ</CaseTypeShortName>
  </dt_DecisionCase>
  <dt_DecisionJudgePanel>
    <JudgeID>023972524@GOV.IL</JudgeID>
    <DisplayName>יעקב שקד</DisplayName>
    <RoleName>שופט</RoleName>
    <UserTitleName>שופט</UserTitleName>
  </dt_DecisionJudgePanel>
  <dt_LegalEntityDetails>
    <Fax>03-6114978</Fax>
    <Phone>03-6114977</Phone>
    <PartyID>2</PartyID>
    <PartyTypeID>2</PartyTypeID>
    <DecisionID>0</DecisionID>
    <StreetName>דרך מנחם בגין 144 א'</StreetName>
    <ZipCode>6492124</ZipCode>
    <CityName>תל אביב -יפו</CityName>
    <FullName>עוז קינן</FullName>
    <Email>office@fylaw.co.il</Email>
    <IsPublicationProhibited>false</IsPublicationProhibited>
  </dt_LegalEntityDetails>
  <dt_LegalEntityDetails>
    <PartyID>1</PartyID>
    <PartyTypeID>1</PartyTypeID>
    <DecisionID>0</DecisionID>
    <FullName>מתן דור</FullName>
    <IsPublicationProhibited>false</IsPublicationProhibited>
  </dt_LegalEntityDetails>
  <dt_LegalEntityDetails>
    <Fax>153-25361050</Fax>
    <Phone>02-5361050</Phone>
    <PartyID>1</PartyID>
    <PartyTypeID>2</PartyTypeID>
    <DecisionID>0</DecisionID>
    <StreetName>בארות 31</StreetName>
    <ZipCode>90917</ZipCode>
    <CityName>גבעת זאב</CityName>
    <FullName>אייל אבידן</FullName>
    <Email>eyalavidan@gmail.com</Email>
    <IsPublicationProhibited>false</IsPublicationProhibited>
  </dt_LegalEntityDetails>
  <dt_LegalEntityDetails>
    <PartyID>2</PartyID>
    <PartyTypeID>1</PartyTypeID>
    <DecisionID>0</DecisionID>
    <StreetName>ירמיהו 5</StreetName>
    <ZipCode>6350705</ZipCode>
    <CityName>תל אביב -יפו</CityName>
    <FullName> לייט האוס 23 בע"מ</FullName>
    <IsPublicationProhibited>false</IsPublicationProhibited>
  </dt_LegalEntityDetails>
  <dt_LegalEntityDetails>
    <Fax>03-6114978</Fax>
    <Phone>03-6114977</Phone>
    <PartyID>2</PartyID>
    <PartyTypeID>2</PartyTypeID>
    <DecisionID>0</DecisionID>
    <StreetName>דרך מנחם בגין 144 א'</StreetName>
    <ZipCode>6492124</ZipCode>
    <CityName>תל אביב -יפו</CityName>
    <FullName>יצחק יונגר</FullName>
    <Email>office@fylaw.co.il</Email>
    <IsPublicationProhibited>false</IsPublicationProhibited>
  </dt_LegalEntityDetails>
  <dt_LegalEntityDetails>
    <Fax>03-6043762</Fax>
    <Phone>03-6043239</Phone>
    <AddressDesc>קומה א</AddressDesc>
    <PartyID>2</PartyID>
    <PartyTypeID>1</PartyTypeID>
    <DecisionID>0</DecisionID>
    <StreetName>ירמיהו 5</StreetName>
    <ZipCode>6350705</ZipCode>
    <CityName>תל אביב -יפו</CityName>
    <FullName> א.ד. נוקס בע"מ</FullName>
    <IsPublicationProhibited>false</IsPublicationProhibited>
  </dt_LegalEntityDetails>
  <dt_LegalEntityDetails>
    <PartyID>2</PartyID>
    <PartyTypeID>1</PartyTypeID>
    <DecisionID>0</DecisionID>
    <StreetName>שפרינצק 9</StreetName>
    <CityName>תל אביב -יפו</CityName>
    <FullName>יהונתן בן עמי</FullName>
    <IsPublicationProhibited>false</IsPublicationProhibited>
  </dt_LegalEntityDetails>
  <dt_LegalEntityDetails>
    <PartyID>2</PartyID>
    <PartyTypeID>1</PartyTypeID>
    <DecisionID>0</DecisionID>
    <StreetName>ויתקין 11</StreetName>
    <CityName>תל אביב -יפו</CityName>
    <FullName>גיא הינן </FullName>
    <IsPublicationProhibited>false</IsPublicationProhibited>
  </dt_LegalEntityDetails>
  <dt_LegalEntityDetails>
    <PartyID>2</PartyID>
    <PartyTypeID>1</PartyTypeID>
    <DecisionID>0</DecisionID>
    <StreetName>הר נבו 7</StreetName>
    <ZipCode>4722507</ZipCode>
    <CityName>רמת השרון</CityName>
    <FullName>עומר יהב</FullName>
    <IsPublicationProhibited>false</IsPublicationProhibited>
  </dt_LegalEntityDetails>
  <dt_LegalEntityDetails>
    <PartyID>2</PartyID>
    <PartyTypeID>1</PartyTypeID>
    <DecisionID>0</DecisionID>
    <StreetName>ברוך צ'מרינסקי 1</StreetName>
    <CityName>תל אביב -יפו</CityName>
    <FullName>ירום גבאי</FullName>
    <IsPublicationProhibited>false</IsPublicationProhibited>
  </dt_LegalEntityDetails>
  <dt_LegalEntityDetails>
    <PartyID>2</PartyID>
    <PartyTypeID>1</PartyTypeID>
    <DecisionID>0</DecisionID>
    <StreetName>בזל 3</StreetName>
    <CityName>תל אביב -יפו</CityName>
    <FullName>גל קורן </FullName>
    <IsPublicationProhibited>false</IsPublicationProhibited>
  </dt_LegalEntityDetails>
  <dt_LegalEntityDetails>
    <PartyID>2</PartyID>
    <PartyTypeID>1</PartyTypeID>
    <DecisionID>0</DecisionID>
    <StreetName>אמיר גלבוע 1</StreetName>
    <CityName>תל אביב -יפו</CityName>
    <FullName>ריף רפאל  פרץ</FullName>
    <IsPublicationProhibited>false</IsPublicationProhibited>
  </dt_LegalEntityDetails>
  <dt_LegalEntityDetails>
    <PartyID>2</PartyID>
    <PartyTypeID>1</PartyTypeID>
    <DecisionID>0</DecisionID>
    <StreetName>גלוסקין 10</StreetName>
    <CityName>תל אביב -יפו</CityName>
    <FullName>שלומי  דיין </FullName>
    <IsPublicationProhibited>false</IsPublicationProhibited>
  </dt_LegalEntityDetails>
  <dt_LegalEntityDetails>
    <PartyID>2</PartyID>
    <PartyTypeID>1</PartyTypeID>
    <DecisionID>0</DecisionID>
    <StreetName>דיזינגוף 610</StreetName>
    <CityName>תל אביב -יפו</CityName>
    <FullName>גל  אלרם </FullName>
    <IsPublicationProhibited>false</IsPublicationProhibited>
  </dt_LegalEntityDetails>
  <dt_LegalEntityDetails>
    <PartyID>2</PartyID>
    <PartyTypeID>1</PartyTypeID>
    <DecisionID>0</DecisionID>
    <StreetName>רמבה 32</StreetName>
    <ZipCode>5258791</ZipCode>
    <CityName>רמת גן</CityName>
    <FullName> טי.אל.טי.איי.איי.איי.פי. רכישות בע"מ</FullName>
    <IsPublicationProhibited>false</IsPublicationProhibited>
  </dt_LegalEntityDetails>
  <dt_LegalEntityDetails>
    <PartyID>2</PartyID>
    <PartyTypeID>1</PartyTypeID>
    <DecisionID>0</DecisionID>
    <FullName>דניאל נפתלי</FullName>
    <IsPublicationProhibited>false</IsPublicationProhibited>
  </dt_LegalEntityDetails>
  <dt_LegalEntityDetails>
    <PartyID>2</PartyID>
    <PartyTypeID>1</PartyTypeID>
    <DecisionID>0</DecisionID>
    <FullName>עומר עוז</FullName>
    <IsPublicationProhibited>false</IsPublicationProhibited>
  </dt_LegalEntityDetails>
  <dt_LegalEntityDetails>
    <PartyID>2</PartyID>
    <PartyTypeID>1</PartyTypeID>
    <DecisionID>0</DecisionID>
    <FullName>דן עמית</FullName>
    <IsPublicationProhibited>false</IsPublicationProhibited>
  </dt_LegalEntityDetails>
  <dt_CaseJudicalPersonActive>
    <CaseJudicalPerson>שופט יעקב שקד</CaseJudicalPerson>
  </dt_CaseJudicalPersonActive>
  <dt_Sitting>
    <PreviousMeetingDate>2024-06-19T08:30:00+03:00</PreviousMeetingDate>
    <PreviousSittingTypeID>2</PreviousSittingTypeID>
    <PreviousMeetingDisplayName>שופט יעקב שקד</PreviousMeetingDisplayName>
    <PreviousMeetingRoleName>שופט</PreviousMeetingRoleName>
    <PreviousMeetingUserTitleName>שופט</PreviousMeetingUserTitleName>
    <PreviousMeetingUserUPN>023972524@GOV.IL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1C4EC-1787-4C72-ADD5-D2706198C940}">
  <ds:schemaRefs/>
</ds:datastoreItem>
</file>

<file path=customXml/itemProps2.xml><?xml version="1.0" encoding="utf-8"?>
<ds:datastoreItem xmlns:ds="http://schemas.openxmlformats.org/officeDocument/2006/customXml" ds:itemID="{681BCA67-317F-4C9C-A861-208C676A5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7671</Words>
  <Characters>38357</Characters>
  <Application>Microsoft Office Word</Application>
  <DocSecurity>0</DocSecurity>
  <Lines>319</Lines>
  <Paragraphs>91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2024-07-18T07:49:00Z</dcterms:created>
  <dcterms:modified xsi:type="dcterms:W3CDTF">2024-07-18T07:49:00Z</dcterms:modified>
</cp:coreProperties>
</file>